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66</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9. Отсрочка, рассрочка, инвестиционный налоговый кредит</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Инвестиционный налоговый кредит представляет собой такое изменение срока уплаты налога, при котором организации при наличии оснований, указанных в статье 67 настоящего Кодекса, предоставляется возможность в течение определенного срока и в определенных пределах уменьшать свои платежи по налогу с последующей поэтапной уплатой суммы кредита и начисленных процентов.</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кредит может быть предоставлен по налогу на прибыль организации, а также по региональным и местным налогам.</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29.07.2004 N 95-ФЗ.</w:t>
      </w:r>
    </w:p>
    <w:p>
      <w:pPr>
        <w:spacing w:after="120"/>
        <w:ind w:firstLine="709"/>
      </w:pPr>
      <w:r>
        <w:rPr>
          <w:sz w:val="24"/>
        </w:rPr>
        <w:t xml:space="preserve">(см. текст в предыдущей редакции )</w:t>
      </w:r>
    </w:p>
    <w:p>
      <w:pPr>
        <w:spacing w:after="120"/>
        <w:ind w:firstLine="709"/>
      </w:pPr>
      <w:r>
        <w:rPr>
          <w:sz w:val="24"/>
        </w:rPr>
        <w:t xml:space="preserve">Инвестиционный налоговый кредит может быть предоставлен на срок от одного года до десяти лет.</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23.11.2024 N 393-ФЗ.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Организация, получившая инвестиционный налоговый кредит, вправе уменьшать свои платежи по соответствующему налогу в течение срока действия договора об инвестиционном налоговом кредите.</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Уменьшение производится по каждому платежу соответствующего налога, по которому предоставлен инвестиционный налоговый кредит, за каждый отчетный период до тех пор, пока сумма, не уплаченная организацией в результате всех таких уменьшений (накопленная сумма кредита), не станет равной сумме кредита, предусмотренной соответствующим договором. Конкретный порядок уменьшения налоговых платежей определяется заключенным договором об инвестиционном налоговом кредите.</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Если организацией заключено более одного договора об инвестиционном налоговом кредите, срок действия которых не истек к моменту очередного платежа по налогу, накопленная сумма кредита определяется отдельно по каждому из этих договоров. При этом увеличение накопленной суммы кредита производится вначале в отношении первого по сроку заключения договора, а при достижении этой накопленной суммой кредита размера, предусмотренного указанным договором, организация может увеличивать накопленную сумму кредита по следующему договору.</w:t>
      </w:r>
    </w:p>
    <w:p>
      <w:pPr>
        <w:spacing w:after="120"/>
        <w:ind w:firstLine="709"/>
      </w:pPr>
      <w:r>
        <w:rPr>
          <w:sz w:val="24"/>
        </w:rPr>
        <w:t xml:space="preserve">3. В каждом отчетном периоде (независимо от числа договоров об инвестиционном налоговом кредите) суммы, на которые уменьшаются платежи по налогу, не могут превышать 50 процентов размеров соответствующих платежей по налогу, определенных по общим правилам без учета наличия договоров об инвестиционном налоговом кредите. При этом накопленная в течение налогового периода сумма кредита не может превышать 50 процентов суммы налога, подлежащего уплате организацией за этот налоговый период. Если накопленная сумма кредита превышает предельные размеры, на которые допускается уменьшение налога, установленные настоящим пунктом, для такого отчетного периода, то разница между этой суммой и предельно допустимой суммой переносится на следующий отчетный период.</w:t>
      </w:r>
    </w:p>
    <w:p>
      <w:pPr>
        <w:spacing w:after="120"/>
        <w:ind w:firstLine="709"/>
      </w:pPr>
      <w:r>
        <w:rPr>
          <w:sz w:val="24"/>
        </w:rPr>
        <w:t xml:space="preserve">(в ред. Федеральных законов от 09.07.1999 N 154-ФЗ , от 03.12.2011 N 392-ФЗ , от 23.11.2024 N 393-ФЗ )</w:t>
      </w:r>
    </w:p>
    <w:p>
      <w:pPr>
        <w:spacing w:after="120"/>
        <w:ind w:firstLine="709"/>
      </w:pPr>
      <w:r>
        <w:rPr>
          <w:sz w:val="24"/>
        </w:rPr>
        <w:t xml:space="preserve">(см. текст в предыдущей редакции )</w:t>
      </w:r>
    </w:p>
    <w:p>
      <w:pPr>
        <w:spacing w:after="120"/>
        <w:ind w:firstLine="709"/>
      </w:pPr>
      <w:r>
        <w:rPr>
          <w:sz w:val="24"/>
        </w:rPr>
        <w:t xml:space="preserve">Если организация имела убытки по результатам отдельных отчетных периодов в течение налогового периода либо убытки по итогам всего налогового периода, излишне накопленная по итогам налогового периода сумма кредита переносится на следующий налоговый период и признается накопленной суммой кредита в первом отчетном периоде нового налогового периода.</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66</dc:title>
  <dc:creator>АРБИТРАЖ! · arbi.ru</dc:creator>
  <cp:lastModifiedBy>АРБИТРАЖ!</cp:lastModifiedBy>
  <dcterms:created xsi:type="dcterms:W3CDTF">2026-10-23T09:31:10.313Z</dcterms:created>
</cp:coreProperties>
</file>