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70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10. Требование об уплате налогов, сборов, страховых взносов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Требование об уплате задолженности должно быть направлено налогоплательщику, плательщику сбора, плательщику страховых взносов, налоговому агенту не позднее трех месяцев со дня формирования отрицательного сальдо единого налогового счета этого лица в размере, превышающем 3000 рублей,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случае, если размер отрицательного сальдо единого налогового счета лица - налогоплательщика, плательщика сбора, плательщика страховых взносов, налогового агента превышает 500 рублей, но составляет не более 3000 рублей, требование об уплате задолженности в размере отрицательного сальдо единого налогового счета должно быть направлено этому лицу не позднее одного года со дня формирования отрицательного сальдо его единого налогового счета в размере, превышающем 500 рублей.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08.08.2024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70</dc:title>
  <dc:creator>АРБИТРАЖ! · arbi.ru</dc:creator>
  <cp:lastModifiedBy>АРБИТРАЖ!</cp:lastModifiedBy>
  <dcterms:created xsi:type="dcterms:W3CDTF">2026-10-23T05:34:20.711Z</dcterms:created>
</cp:coreProperties>
</file>