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необходимых случаях для участия в действиях по осуществлению налогового контроля на договорной основе может быть привлечен переводчик.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Переводчиком является не заинтересованное в исходе дела лицо, владеющее языком, знание которого необходимо для перевода.</w:t>
      </w:r>
    </w:p>
    <w:p>
      <w:pPr>
        <w:spacing w:after="120"/>
        <w:ind w:firstLine="709"/>
      </w:pPr>
      <w:r>
        <w:rPr>
          <w:sz w:val="24"/>
        </w:rPr>
        <w:t xml:space="preserve">Настоящее положение распространяется и на лицо, понимающее знаки немого или глухого физического лица.</w:t>
      </w:r>
    </w:p>
    <w:p>
      <w:pPr>
        <w:spacing w:after="120"/>
        <w:ind w:firstLine="709"/>
      </w:pPr>
      <w:r>
        <w:rPr>
          <w:sz w:val="24"/>
        </w:rPr>
        <w:t xml:space="preserve">3. Переводчик обязан явиться по вызову назначившего его должностного лица налогового органа и точно выполнить порученный ему перевод.</w:t>
      </w:r>
    </w:p>
    <w:p>
      <w:pPr>
        <w:spacing w:after="120"/>
        <w:ind w:firstLine="709"/>
      </w:pPr>
      <w:r>
        <w:rPr>
          <w:sz w:val="24"/>
        </w:rPr>
        <w:t xml:space="preserve">4. Переводчик предупреждается об ответственности за отказ или уклонение от выполнения своих обязанностей либо заведомо ложный перевод, о чем делается отметка в протоколе, которая удостоверяется подписью переводчика.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97</dc:title>
  <dc:creator>АРБИТРАЖ! · arbi.ru</dc:creator>
  <cp:lastModifiedBy>АРБИТРАЖ!</cp:lastModifiedBy>
  <dcterms:created xsi:type="dcterms:W3CDTF">2026-10-23T02:37:05.215Z</dcterms:created>
</cp:coreProperties>
</file>