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101.3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1.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подлежит исполнению со дня его вступления в силу .</w:t>
      </w:r>
    </w:p>
    <w:p>
      <w:pPr>
        <w:spacing w:after="120"/>
        <w:ind w:firstLine="709"/>
      </w:pPr>
      <w:r>
        <w:rPr>
          <w:sz w:val="24"/>
        </w:rPr>
        <w:t xml:space="preserve">2. Обращение соответствующего решения к исполнению возлагается на налоговый орган, вынесший это решение. В случае рассмотрения жалобы вышестоящим налоговым органом в апелляционном порядке вступившее в силу соответствующее решение направляется в налоговый орган, вынесший первоначальное решение, в течение трех дней со дня вступления в силу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101.3</dc:title>
  <dc:creator>АРБИТРАЖ! · arbi.ru</dc:creator>
  <cp:lastModifiedBy>АРБИТРАЖ!</cp:lastModifiedBy>
  <dcterms:created xsi:type="dcterms:W3CDTF">2026-10-23T01:57:05.700Z</dcterms:created>
</cp:coreProperties>
</file>