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проведении налогового контроля не допускается причинение неправомерного вреда проверяемым лицам, их представителям либо имуществу, находящемуся в их владении, пользовании или распоряжении.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Убытки, причиненные неправомерными действиями налоговых органов или их должностных лиц при проведении налогового контроля, подлежат возмещению в полном объеме, включая упущенную выгоду (неполученный доход).</w:t>
      </w:r>
    </w:p>
    <w:p>
      <w:pPr>
        <w:spacing w:after="120"/>
        <w:ind w:firstLine="709"/>
      </w:pPr>
      <w:r>
        <w:rPr>
          <w:sz w:val="24"/>
        </w:rPr>
        <w:t xml:space="preserve">3. За причинение убытков проверяемым лицам, их представителям в результате совершения неправомерных действий налоговые органы и их должностные лица несут ответственность , предусмотренную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Убытки, причиненные проверяемым лицам, их представителям правомерными действиями должностных лиц налоговых органов, возмещению не подлежат, за исключением случаев, предусмотренных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103</dc:title>
  <dc:creator>АРБИТРАЖ! · arbi.ru</dc:creator>
  <cp:lastModifiedBy>АРБИТРАЖ!</cp:lastModifiedBy>
  <dcterms:created xsi:type="dcterms:W3CDTF">2026-10-23T02:26:06.293Z</dcterms:created>
</cp:coreProperties>
</file>