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105.5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14.2. Общие Положения о ценах и налогообложении. Информация, используемая при сопоставлении условий сделок между взаимозависимыми лицами с условиями сделок между лицами, не являющимися взаимозависимыми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Для определения доходов (прибыли, выручки) в сделках, сторонами которых являются взаимозависимые лица, федеральный орган исполнительной власти, уполномоченный по контролю и надзору в области налогов и сборов, в целях применения методов, предусмотренных статьей 105.7 настоящего Кодекса, производит сопоставление таких сделок или совокупности таких сделок (далее в настоящем Кодексе - анализируемая сделка) с одной или несколькими сделками, сторонами которых не являются взаимозависимые лица (далее в настоящем Кодексе - сопоставляемые сделки).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настоящего Кодекса сопоставляемые сделки признаются сопоставимыми с анализируемой сделкой, если они совершаются в одинаковых коммерческих и (или) финансовых условиях с анализируемой сделкой.</w:t>
      </w:r>
    </w:p>
    <w:p>
      <w:pPr>
        <w:spacing w:after="120"/>
        <w:ind w:firstLine="709"/>
      </w:pPr>
      <w:r>
        <w:rPr>
          <w:sz w:val="24"/>
        </w:rPr>
        <w:t xml:space="preserve">3. Если коммерческие и (или) финансовые условия сопоставляемых сделок отличаются от коммерческих и (или) финансовых условий анализируемой сделки, такие сделки могут быть признаны сопоставимыми с анализируемой сделкой, если различия между указанными условиями анализируемой и сопоставляемых сделок не оказывают существенного влияния на их результаты или если такие различия могут быть учтены с помощью применения для целей налогообложения соответствующих корректировок к условиям и (или) результатам сопоставляемых сделок или анализируемой сделки.</w:t>
      </w:r>
    </w:p>
    <w:p>
      <w:pPr>
        <w:spacing w:after="120"/>
        <w:ind w:firstLine="709"/>
      </w:pPr>
      <w:r>
        <w:rPr>
          <w:sz w:val="24"/>
        </w:rPr>
        <w:t xml:space="preserve">4. При определении сопоставимости сделок, а также для осуществления корректировок коммерческих и (или) финансовых условий сделок производится анализ следующих характеристик анализируемой и сопоставляемых сделок, которые могут оказывать существенное влияние на коммерческие и (или) финансовые условия сделок, сторонами которых не являются лица, признаваемые взаимозависимыми:</w:t>
      </w:r>
    </w:p>
    <w:p>
      <w:pPr>
        <w:spacing w:after="120"/>
        <w:ind w:firstLine="709"/>
      </w:pPr>
      <w:r>
        <w:rPr>
          <w:sz w:val="24"/>
        </w:rPr>
        <w:t xml:space="preserve">1) характеристик товаров (работ, услуг), являющихся предметом сделки;</w:t>
      </w:r>
    </w:p>
    <w:p>
      <w:pPr>
        <w:spacing w:after="120"/>
        <w:ind w:firstLine="709"/>
      </w:pPr>
      <w:r>
        <w:rPr>
          <w:sz w:val="24"/>
        </w:rPr>
        <w:t xml:space="preserve">2) характеристик функций, выполняемых сторонами сделки в соответствии с обычаями делового оборота, включая характеристики активов, используемых сторонами сделки, принимаемых ими рисков, а также распределение ответственности между сторонами сделки и прочие условия сделки (далее в настоящем Кодексе - функциональный анализ);</w:t>
      </w:r>
    </w:p>
    <w:p>
      <w:pPr>
        <w:spacing w:after="120"/>
        <w:ind w:firstLine="709"/>
      </w:pPr>
      <w:r>
        <w:rPr>
          <w:sz w:val="24"/>
        </w:rPr>
        <w:t xml:space="preserve">3) условий договоров (контрактов), заключенных между сторонами сделки, оказывающих влияние на цены товаров (работ, услуг);</w:t>
      </w:r>
    </w:p>
    <w:p>
      <w:pPr>
        <w:spacing w:after="120"/>
        <w:ind w:firstLine="709"/>
      </w:pPr>
      <w:r>
        <w:rPr>
          <w:sz w:val="24"/>
        </w:rPr>
        <w:t xml:space="preserve">4) характеристик экономических условий деятельности сторон сделки, включая характеристики соответствующих рынков товаров (работ, услуг), оказывающих влияние на цены товаров (работ, услуг);</w:t>
      </w:r>
    </w:p>
    <w:p>
      <w:pPr>
        <w:spacing w:after="120"/>
        <w:ind w:firstLine="709"/>
      </w:pPr>
      <w:r>
        <w:rPr>
          <w:sz w:val="24"/>
        </w:rPr>
        <w:t xml:space="preserve">5) характеристик рыночных (коммерческих) стратегий сторон сделки, оказывающих влияние на цены товаров (работ, услуг).</w:t>
      </w:r>
    </w:p>
    <w:p>
      <w:pPr>
        <w:spacing w:after="120"/>
        <w:ind w:firstLine="709"/>
      </w:pPr>
      <w:r>
        <w:rPr>
          <w:sz w:val="24"/>
        </w:rPr>
        <w:t xml:space="preserve">5. Определение сопоставимости коммерческих и (или) финансовых условий сопоставляемых сделок с условиями анализируемой сделки осуществляется с учетом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количества товаров, объема выполняемых работ (оказываемых услуг);</w:t>
      </w:r>
    </w:p>
    <w:p>
      <w:pPr>
        <w:spacing w:after="120"/>
        <w:ind w:firstLine="709"/>
      </w:pPr>
      <w:r>
        <w:rPr>
          <w:sz w:val="24"/>
        </w:rPr>
        <w:t xml:space="preserve">2) сроков исполнения обязательств по сделке;</w:t>
      </w:r>
    </w:p>
    <w:p>
      <w:pPr>
        <w:spacing w:after="120"/>
        <w:ind w:firstLine="709"/>
      </w:pPr>
      <w:r>
        <w:rPr>
          <w:sz w:val="24"/>
        </w:rPr>
        <w:t xml:space="preserve">3) условий платежей, применяемых в соответствующих сделках;</w:t>
      </w:r>
    </w:p>
    <w:p>
      <w:pPr>
        <w:spacing w:after="120"/>
        <w:ind w:firstLine="709"/>
      </w:pPr>
      <w:r>
        <w:rPr>
          <w:sz w:val="24"/>
        </w:rPr>
        <w:t xml:space="preserve">4) курса иностранной валюты, примененной в сделке, по отношению к рублю или другой валюте и его изменения;</w:t>
      </w:r>
    </w:p>
    <w:p>
      <w:pPr>
        <w:spacing w:after="120"/>
        <w:ind w:firstLine="709"/>
      </w:pPr>
      <w:r>
        <w:rPr>
          <w:sz w:val="24"/>
        </w:rPr>
        <w:t xml:space="preserve">5) иных условий распределения прав и обязанностей между сторонами сделки (на основании результатов функционального анализа).</w:t>
      </w:r>
    </w:p>
    <w:p>
      <w:pPr>
        <w:spacing w:after="120"/>
        <w:ind w:firstLine="709"/>
      </w:pPr>
      <w:r>
        <w:rPr>
          <w:sz w:val="24"/>
        </w:rPr>
        <w:t xml:space="preserve">6. Учет функций, исполняемых сторонами сделки, при определении сопоставимости коммерческих и (или) финансовых условий сопоставляемых сделок с условиями анализируемой сделки осуществляется с учетом материальных и нематериальных активов, находящихся в распоряжении сторон сделки. При этом под активами в целях настоящей главы понимаются ресурсы (имущество, в том числе денежные средства, имущественные права, в том числе интеллектуальные права), которыми лицо владеет, пользуется или распоряжается в целях получения дохода. К основным функциям сторон сделки, которые учитываются при определении сопоставимости коммерческих и (или) финансовых условий сопоставляемых сделок с условиями анализируемой сделки, в частности, относятся:</w:t>
      </w:r>
    </w:p>
    <w:p>
      <w:pPr>
        <w:spacing w:after="120"/>
        <w:ind w:firstLine="709"/>
      </w:pPr>
      <w:r>
        <w:rPr>
          <w:sz w:val="24"/>
        </w:rPr>
        <w:t xml:space="preserve">1) осуществление дизайна товаров и их технологической разработки;</w:t>
      </w:r>
    </w:p>
    <w:p>
      <w:pPr>
        <w:spacing w:after="120"/>
        <w:ind w:firstLine="709"/>
      </w:pPr>
      <w:r>
        <w:rPr>
          <w:sz w:val="24"/>
        </w:rPr>
        <w:t xml:space="preserve">2) осуществление производства товаров;</w:t>
      </w:r>
    </w:p>
    <w:p>
      <w:pPr>
        <w:spacing w:after="120"/>
        <w:ind w:firstLine="709"/>
      </w:pPr>
      <w:r>
        <w:rPr>
          <w:sz w:val="24"/>
        </w:rPr>
        <w:t xml:space="preserve">3) осуществление сборки товаров или их компонентов;</w:t>
      </w:r>
    </w:p>
    <w:p>
      <w:pPr>
        <w:spacing w:after="120"/>
        <w:ind w:firstLine="709"/>
      </w:pPr>
      <w:r>
        <w:rPr>
          <w:sz w:val="24"/>
        </w:rPr>
        <w:t xml:space="preserve">4) осуществление монтажа и (или) установки оборудования;</w:t>
      </w:r>
    </w:p>
    <w:p>
      <w:pPr>
        <w:spacing w:after="120"/>
        <w:ind w:firstLine="709"/>
      </w:pPr>
      <w:r>
        <w:rPr>
          <w:sz w:val="24"/>
        </w:rPr>
        <w:t xml:space="preserve">5) проведение научно-исследовательских и опытно-конструкторских работ;</w:t>
      </w:r>
    </w:p>
    <w:p>
      <w:pPr>
        <w:spacing w:after="120"/>
        <w:ind w:firstLine="709"/>
      </w:pPr>
      <w:r>
        <w:rPr>
          <w:sz w:val="24"/>
        </w:rPr>
        <w:t xml:space="preserve">6) приобретение товарно-материальных ценностей;</w:t>
      </w:r>
    </w:p>
    <w:p>
      <w:pPr>
        <w:spacing w:after="120"/>
        <w:ind w:firstLine="709"/>
      </w:pPr>
      <w:r>
        <w:rPr>
          <w:sz w:val="24"/>
        </w:rPr>
        <w:t xml:space="preserve">7) осуществление оптовой или розничной торговли товарами;</w:t>
      </w:r>
    </w:p>
    <w:p>
      <w:pPr>
        <w:spacing w:after="120"/>
        <w:ind w:firstLine="709"/>
      </w:pPr>
      <w:r>
        <w:rPr>
          <w:sz w:val="24"/>
        </w:rPr>
        <w:t xml:space="preserve">8) осуществление функций по ремонту, гарантийному обслуживанию;</w:t>
      </w:r>
    </w:p>
    <w:p>
      <w:pPr>
        <w:spacing w:after="120"/>
        <w:ind w:firstLine="709"/>
      </w:pPr>
      <w:r>
        <w:rPr>
          <w:sz w:val="24"/>
        </w:rPr>
        <w:t xml:space="preserve">9) продвижение на новые рынки товаров (работ, услуг), маркетинг, реклама;</w:t>
      </w:r>
    </w:p>
    <w:p>
      <w:pPr>
        <w:spacing w:after="120"/>
        <w:ind w:firstLine="709"/>
      </w:pPr>
      <w:r>
        <w:rPr>
          <w:sz w:val="24"/>
        </w:rPr>
        <w:t xml:space="preserve">10) хранение товаров;</w:t>
      </w:r>
    </w:p>
    <w:p>
      <w:pPr>
        <w:spacing w:after="120"/>
        <w:ind w:firstLine="709"/>
      </w:pPr>
      <w:r>
        <w:rPr>
          <w:sz w:val="24"/>
        </w:rPr>
        <w:t xml:space="preserve">11) транспортировка товаров;</w:t>
      </w:r>
    </w:p>
    <w:p>
      <w:pPr>
        <w:spacing w:after="120"/>
        <w:ind w:firstLine="709"/>
      </w:pPr>
      <w:r>
        <w:rPr>
          <w:sz w:val="24"/>
        </w:rPr>
        <w:t xml:space="preserve">12) страхование;</w:t>
      </w:r>
    </w:p>
    <w:p>
      <w:pPr>
        <w:spacing w:after="120"/>
        <w:ind w:firstLine="709"/>
      </w:pPr>
      <w:r>
        <w:rPr>
          <w:sz w:val="24"/>
        </w:rPr>
        <w:t xml:space="preserve">13) оказание консультаций, информационное обслуживание;</w:t>
      </w:r>
    </w:p>
    <w:p>
      <w:pPr>
        <w:spacing w:after="120"/>
        <w:ind w:firstLine="709"/>
      </w:pPr>
      <w:r>
        <w:rPr>
          <w:sz w:val="24"/>
        </w:rPr>
        <w:t xml:space="preserve">14) ведение бухгалтерского учета;</w:t>
      </w:r>
    </w:p>
    <w:p>
      <w:pPr>
        <w:spacing w:after="120"/>
        <w:ind w:firstLine="709"/>
      </w:pPr>
      <w:r>
        <w:rPr>
          <w:sz w:val="24"/>
        </w:rPr>
        <w:t xml:space="preserve">15) юридическое обслуживание;</w:t>
      </w:r>
    </w:p>
    <w:p>
      <w:pPr>
        <w:spacing w:after="120"/>
        <w:ind w:firstLine="709"/>
      </w:pPr>
      <w:r>
        <w:rPr>
          <w:sz w:val="24"/>
        </w:rPr>
        <w:t xml:space="preserve">16) предоставление труда работников (персонала);</w:t>
      </w:r>
    </w:p>
    <w:p>
      <w:pPr>
        <w:spacing w:after="120"/>
        <w:ind w:firstLine="709"/>
      </w:pPr>
      <w:r>
        <w:rPr>
          <w:sz w:val="24"/>
        </w:rPr>
        <w:t xml:space="preserve">(пп. 16 в ред. Федерального закона от 05.05.2014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17) выполнение агентских функций, посредничество;</w:t>
      </w:r>
    </w:p>
    <w:p>
      <w:pPr>
        <w:spacing w:after="120"/>
        <w:ind w:firstLine="709"/>
      </w:pPr>
      <w:r>
        <w:rPr>
          <w:sz w:val="24"/>
        </w:rPr>
        <w:t xml:space="preserve">18) финансирование, осуществление финансовых операций;</w:t>
      </w:r>
    </w:p>
    <w:p>
      <w:pPr>
        <w:spacing w:after="120"/>
        <w:ind w:firstLine="709"/>
      </w:pPr>
      <w:r>
        <w:rPr>
          <w:sz w:val="24"/>
        </w:rPr>
        <w:t xml:space="preserve">19) осуществление контроля качества;</w:t>
      </w:r>
    </w:p>
    <w:p>
      <w:pPr>
        <w:spacing w:after="120"/>
        <w:ind w:firstLine="709"/>
      </w:pPr>
      <w:r>
        <w:rPr>
          <w:sz w:val="24"/>
        </w:rPr>
        <w:t xml:space="preserve">20) осуществление стратегического управления, в том числе определение ценовой политики, стратегии производства и реализации товаров (работ, услуг), объема продаж, ассортимента товаров (предлагаемых работ, услуг), их потребительских свойств, а также осуществление оперативного управления;</w:t>
      </w:r>
    </w:p>
    <w:p>
      <w:pPr>
        <w:spacing w:after="120"/>
        <w:ind w:firstLine="709"/>
      </w:pPr>
      <w:r>
        <w:rPr>
          <w:sz w:val="24"/>
        </w:rPr>
        <w:t xml:space="preserve">21) обучение, повышение квалификации сотрудников;</w:t>
      </w:r>
    </w:p>
    <w:p>
      <w:pPr>
        <w:spacing w:after="120"/>
        <w:ind w:firstLine="709"/>
      </w:pPr>
      <w:r>
        <w:rPr>
          <w:sz w:val="24"/>
        </w:rPr>
        <w:t xml:space="preserve">22) организация сбыта и (или) производства товаров с привлечением других лиц, располагающих соответствующими мощностями;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23 п. 6 ст. 105.5 (в ред. ФЗ от 29.09.2019 N 325-ФЗ) применяется к сделкам, доходы и (или) расходы по которым признаются в соответствии с гл. 25 НК РФ с 01.01.2020, вне зависимости от даты заключения соответствующего договора.</w:t>
      </w:r>
    </w:p>
    <w:p>
      <w:pPr>
        <w:spacing w:after="120"/>
        <w:ind w:firstLine="709"/>
      </w:pPr>
      <w:r>
        <w:rPr>
          <w:sz w:val="24"/>
        </w:rPr>
        <w:t xml:space="preserve">23) разработка, совершенствование, поддержание в силе, защита и использование нематериальных активов, а также контроль за выполнением этих функций.</w:t>
      </w:r>
    </w:p>
    <w:p>
      <w:pPr>
        <w:spacing w:after="120"/>
        <w:ind w:firstLine="709"/>
      </w:pPr>
      <w:r>
        <w:rPr>
          <w:sz w:val="24"/>
        </w:rPr>
        <w:t xml:space="preserve">(пп. 23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7. При определении сопоставимости коммерческих и (или) финансовых условий сопоставляемых сделок с условиями анализируемой сделки также учитываются следующие риски, принимаемые каждой из сторон сделки при осуществлении своей деятельности и оказывающие влияние на условия сделки:</w:t>
      </w:r>
    </w:p>
    <w:p>
      <w:pPr>
        <w:spacing w:after="120"/>
        <w:ind w:firstLine="709"/>
      </w:pPr>
      <w:r>
        <w:rPr>
          <w:sz w:val="24"/>
        </w:rPr>
        <w:t xml:space="preserve">1) производственные риски, включая риск неполной загрузки производственных мощностей;</w:t>
      </w:r>
    </w:p>
    <w:p>
      <w:pPr>
        <w:spacing w:after="120"/>
        <w:ind w:firstLine="709"/>
      </w:pPr>
      <w:r>
        <w:rPr>
          <w:sz w:val="24"/>
        </w:rPr>
        <w:t xml:space="preserve">2) риск изменения рыночных цен на приобретаемые материалы и выпускаемую продукцию вследствие изменения экономической конъюнктуры, риск изменения прочих рыночных условий;</w:t>
      </w:r>
    </w:p>
    <w:p>
      <w:pPr>
        <w:spacing w:after="120"/>
        <w:ind w:firstLine="709"/>
      </w:pPr>
      <w:r>
        <w:rPr>
          <w:sz w:val="24"/>
        </w:rPr>
        <w:t xml:space="preserve">3) риск обесценения запасов, потерь товарами качества и иных потребительских свойств;</w:t>
      </w:r>
    </w:p>
    <w:p>
      <w:pPr>
        <w:spacing w:after="120"/>
        <w:ind w:firstLine="709"/>
      </w:pPr>
      <w:r>
        <w:rPr>
          <w:sz w:val="24"/>
        </w:rPr>
        <w:t xml:space="preserve">4) риски, связанные с утратой имущества, имущественных прав;</w:t>
      </w:r>
    </w:p>
    <w:p>
      <w:pPr>
        <w:spacing w:after="120"/>
        <w:ind w:firstLine="709"/>
      </w:pPr>
      <w:r>
        <w:rPr>
          <w:sz w:val="24"/>
        </w:rPr>
        <w:t xml:space="preserve">5) риски изменения курса иностранной валюты по отношению к рублю или другой валюте, процентных ставок, кредитные риски;</w:t>
      </w:r>
    </w:p>
    <w:p>
      <w:pPr>
        <w:spacing w:after="120"/>
        <w:ind w:firstLine="709"/>
      </w:pPr>
      <w:r>
        <w:rPr>
          <w:sz w:val="24"/>
        </w:rPr>
        <w:t xml:space="preserve">6) риск, связанный с безрезультатностью осуществления научно-исследовательских и опытно-конструкторских работ;</w:t>
      </w:r>
    </w:p>
    <w:p>
      <w:pPr>
        <w:spacing w:after="120"/>
        <w:ind w:firstLine="709"/>
      </w:pPr>
      <w:r>
        <w:rPr>
          <w:sz w:val="24"/>
        </w:rPr>
        <w:t xml:space="preserve">7) инвестиционные риски, связанные с возможными финансовыми потерями вследствие ошибок, допущенных при осуществлении инвестиций, включая выбор объектов для инвестиций;</w:t>
      </w:r>
    </w:p>
    <w:p>
      <w:pPr>
        <w:spacing w:after="120"/>
        <w:ind w:firstLine="709"/>
      </w:pPr>
      <w:r>
        <w:rPr>
          <w:sz w:val="24"/>
        </w:rPr>
        <w:t xml:space="preserve">8) риск нанесения ущерба окружающей среде;</w:t>
      </w:r>
    </w:p>
    <w:p>
      <w:pPr>
        <w:spacing w:after="120"/>
        <w:ind w:firstLine="709"/>
      </w:pPr>
      <w:r>
        <w:rPr>
          <w:sz w:val="24"/>
        </w:rPr>
        <w:t xml:space="preserve">9) предпринимательские (коммерческие) риски, связанные с осуществлением стратегического управления, включая ценовую политику и стратегию реализации товаров (работ, услуг);</w:t>
      </w:r>
    </w:p>
    <w:p>
      <w:pPr>
        <w:spacing w:after="120"/>
        <w:ind w:firstLine="709"/>
      </w:pPr>
      <w:r>
        <w:rPr>
          <w:sz w:val="24"/>
        </w:rPr>
        <w:t xml:space="preserve">10) риск невостребованности товара (риск по запасам, складской риск);</w:t>
      </w:r>
    </w:p>
    <w:p>
      <w:pPr>
        <w:spacing w:after="120"/>
        <w:ind w:firstLine="709"/>
      </w:pPr>
      <w:r>
        <w:rPr>
          <w:sz w:val="24"/>
        </w:rPr>
        <w:t xml:space="preserve">11) риск потери деловой репутации вследствие утраты товарами качества и иных потребительских свойств по причинам, не зависящим от сторон сделки;</w:t>
      </w:r>
    </w:p>
    <w:p>
      <w:pPr>
        <w:spacing w:after="120"/>
        <w:ind w:firstLine="709"/>
      </w:pPr>
      <w:r>
        <w:rPr>
          <w:sz w:val="24"/>
        </w:rPr>
        <w:t xml:space="preserve">(пп. 11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12 п. 7 ст. 105.5 (в ред. ФЗ от 29.09.2019 N 325-ФЗ) применяется к сделкам, доходы и (или) расходы по которым признаются в соответствии с гл. 25 НК РФ с 01.01.2020, вне зависимости от даты заключения соответствующего договора.</w:t>
      </w:r>
    </w:p>
    <w:p>
      <w:pPr>
        <w:spacing w:after="120"/>
        <w:ind w:firstLine="709"/>
      </w:pPr>
      <w:r>
        <w:rPr>
          <w:sz w:val="24"/>
        </w:rPr>
        <w:t xml:space="preserve">12) риск, связанный с разработкой, совершенствованием, поддержанием в силе, защитой и использованием нематериальных активов.</w:t>
      </w:r>
    </w:p>
    <w:p>
      <w:pPr>
        <w:spacing w:after="120"/>
        <w:ind w:firstLine="709"/>
      </w:pPr>
      <w:r>
        <w:rPr>
          <w:sz w:val="24"/>
        </w:rPr>
        <w:t xml:space="preserve">(пп. 12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8. При определении сопоставимости коммерческих и (или) финансовых условий сопоставляемых сделок с условиями анализируемой сделки учитываются характеристики рынков товаров (работ, услуг), на которых совершаются сопоставляемые и анализируемая сделки. При этом различия в характеристиках рынков товаров (работ, услуг), на которых совершаются сопоставляемые и анализируемая сделки, не должны оказывать существенного влияния на коммерческие и (или) финансовые условия совершаемых на них сделок либо влияние указанных различий возможно устранить путем осуществления соответствующих корректировок.</w:t>
      </w:r>
    </w:p>
    <w:p>
      <w:pPr>
        <w:spacing w:after="120"/>
        <w:ind w:firstLine="709"/>
      </w:pPr>
      <w:r>
        <w:rPr>
          <w:sz w:val="24"/>
        </w:rPr>
        <w:t xml:space="preserve">Рынком товаров (работ, услуг) признается сфера обращения этих товаров (работ, услуг), определяемая исходя из возможности покупателя (продавца) без значительных дополнительных затрат приобрести (реализовать) товар (работу, услугу) на ближайшей по отношению к покупателю (продавцу) территории Российской Федерации или за пределами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9. При определении сопоставимости характеристик рынков товаров (работ, услуг) учитываются следующие факторы:</w:t>
      </w:r>
    </w:p>
    <w:p>
      <w:pPr>
        <w:spacing w:after="120"/>
        <w:ind w:firstLine="709"/>
      </w:pPr>
      <w:r>
        <w:rPr>
          <w:sz w:val="24"/>
        </w:rPr>
        <w:t xml:space="preserve">1) географическое место расположения рынков и их величина;</w:t>
      </w:r>
    </w:p>
    <w:p>
      <w:pPr>
        <w:spacing w:after="120"/>
        <w:ind w:firstLine="709"/>
      </w:pPr>
      <w:r>
        <w:rPr>
          <w:sz w:val="24"/>
        </w:rPr>
        <w:t xml:space="preserve">2) наличие конкуренции на рынках и относительная конкурентоспособность продавцов и покупателей на рынке;</w:t>
      </w:r>
    </w:p>
    <w:p>
      <w:pPr>
        <w:spacing w:after="120"/>
        <w:ind w:firstLine="709"/>
      </w:pPr>
      <w:r>
        <w:rPr>
          <w:sz w:val="24"/>
        </w:rPr>
        <w:t xml:space="preserve">3) наличие на рынке однородных товаров (работ, услуг);</w:t>
      </w:r>
    </w:p>
    <w:p>
      <w:pPr>
        <w:spacing w:after="120"/>
        <w:ind w:firstLine="709"/>
      </w:pPr>
      <w:r>
        <w:rPr>
          <w:sz w:val="24"/>
        </w:rPr>
        <w:t xml:space="preserve">4) предложение и спрос на рынке, а также покупательская способность потребителей;</w:t>
      </w:r>
    </w:p>
    <w:p>
      <w:pPr>
        <w:spacing w:after="120"/>
        <w:ind w:firstLine="709"/>
      </w:pPr>
      <w:r>
        <w:rPr>
          <w:sz w:val="24"/>
        </w:rPr>
        <w:t xml:space="preserve">5) уровень государственного вмешательства в рыночные процессы;</w:t>
      </w:r>
    </w:p>
    <w:p>
      <w:pPr>
        <w:spacing w:after="120"/>
        <w:ind w:firstLine="709"/>
      </w:pPr>
      <w:r>
        <w:rPr>
          <w:sz w:val="24"/>
        </w:rPr>
        <w:t xml:space="preserve">6) уровень развития производственной и транспортной инфраструктуры;</w:t>
      </w:r>
    </w:p>
    <w:p>
      <w:pPr>
        <w:spacing w:after="120"/>
        <w:ind w:firstLine="709"/>
      </w:pPr>
      <w:r>
        <w:rPr>
          <w:sz w:val="24"/>
        </w:rPr>
        <w:t xml:space="preserve">7) иные характеристики рынка, влияющие на цену сделки.</w:t>
      </w:r>
    </w:p>
    <w:p>
      <w:pPr>
        <w:spacing w:after="120"/>
        <w:ind w:firstLine="709"/>
      </w:pPr>
      <w:r>
        <w:rPr>
          <w:sz w:val="24"/>
        </w:rPr>
        <w:t xml:space="preserve">10. При определении сопоставимости коммерческих и (или) финансовых условий сопоставляемых сделок с условиями анализируемой сделки учитываются коммерческие стратегии сторон сопоставляемых и анализируемой сделок, к которым, в частности, относятся стратегии, направленные на обновление и совершенствование выпускаемой продукции, выход на новые рынки сбыта продукции.</w:t>
      </w:r>
    </w:p>
    <w:p>
      <w:pPr>
        <w:spacing w:after="120"/>
        <w:ind w:firstLine="709"/>
      </w:pPr>
      <w:r>
        <w:rPr>
          <w:sz w:val="24"/>
        </w:rPr>
        <w:t xml:space="preserve">11. Если при определении сопоставимости коммерческих и (или) финансовых условий сделок требуется определение сопоставимости условий договора займа, кредитного договора, договора поручительства или банковской гарантии, при сопоставлении условий указанных договоров учитываются также кредитная история и платежеспособность соответственно получателя займа, кредита, лица, обязательства которого обеспечиваются поручительством или банковской гарантией, характер и рыночная стоимость обеспечения исполнения обязательства, а также срок, на который предоставляется заем или кредит, валюта, являющаяся предметом договора займа или кредита, порядок определения процентной ставки (фиксированная или плавающая) и иные условия, которые оказывают влияние на величину процентной ставки (вознаграждения) по соответствующему договору.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11.1 ст. 105.5 (в ред. ФЗ от 29.09.2019 N 325-ФЗ) применяется к сделкам, доходы и (или) расходы по которым признаются в соответствии с гл. 25 НК РФ с 01.01.2020, вне зависимости от даты заключения соответствующего договора.</w:t>
      </w:r>
    </w:p>
    <w:p>
      <w:pPr>
        <w:spacing w:after="120"/>
        <w:ind w:firstLine="709"/>
      </w:pPr>
      <w:r>
        <w:rPr>
          <w:sz w:val="24"/>
        </w:rPr>
        <w:t xml:space="preserve">11.1. При определении сопоставимости коммерческих и (или) финансовых условий сопоставляемых сделок с условиями анализируемой сделки могут учитываться следующие особенности нематериальных активов, которыми владеют, пользуются или распоряжаются стороны сделок либо которые являются объектом их контроля: вид нематериального актива, исключительность нематериальных активов, наличие и срок правовой охраны, территория действия прав на использование нематериальных активов, срок службы, стадия жизненного цикла нематериальных активов (разработка, совершенствование, использование), права и функции сторон, связанные с увеличением стоимости нематериальных активов в результате их совершенствования, а также возможность получения дохода от использования нематериальных активов.</w:t>
      </w:r>
    </w:p>
    <w:p>
      <w:pPr>
        <w:spacing w:after="120"/>
        <w:ind w:firstLine="709"/>
      </w:pPr>
      <w:r>
        <w:rPr>
          <w:sz w:val="24"/>
        </w:rPr>
        <w:t xml:space="preserve">(п. 11.1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12. С учетом анализа условий сопоставляемых сделок в соответствии с пунктом 4 настоящей статьи осуществление корректировок для обеспечения необходимой степени сопоставимости условий сопоставляемых сделок с условиями анализируемой сделки производится федеральным органом исполнительной власти, уполномоченным по контролю и надзору в области налогов и сборов, на основании следующих принципов:</w:t>
      </w:r>
    </w:p>
    <w:p>
      <w:pPr>
        <w:spacing w:after="120"/>
        <w:ind w:firstLine="709"/>
      </w:pPr>
      <w:r>
        <w:rPr>
          <w:sz w:val="24"/>
        </w:rPr>
        <w:t xml:space="preserve">1) доходы (прибыль, выручка) сторон сделки, не являющейся контролируемой, формируются с учетом используемых активов и принимаемых экономических (коммерческих) рисков в сложившихся на рынке товаров (работ, услуг) экономических условиях и отражают функции, выполняемые каждой стороной сделки в соответствии с условиями договора и обычаями делового оборота;</w:t>
      </w:r>
    </w:p>
    <w:p>
      <w:pPr>
        <w:spacing w:after="120"/>
        <w:ind w:firstLine="709"/>
      </w:pPr>
      <w:r>
        <w:rPr>
          <w:sz w:val="24"/>
        </w:rPr>
        <w:t xml:space="preserve">2) осуществление дополнительных функций, использование активов, существенно влияющих на величину доходов (прибыли, выручки), принятие дополнительных коммерческих (экономических) рисков сторонами сделки в соответствии с рыночной (коммерческой) стратегией при прочих равных условиях сопровождается повышением ожидаемых доходов (прибыли, выручки) по такой сделке.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105.5</dc:title>
  <dc:creator>АРБИТРАЖ! · arbi.ru</dc:creator>
  <cp:lastModifiedBy>АРБИТРАЖ!</cp:lastModifiedBy>
  <dcterms:created xsi:type="dcterms:W3CDTF">2026-10-22T22:46:35.075Z</dcterms:created>
</cp:coreProperties>
</file>