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14.3. Методы, используемые при определении для целей налогообложения доходов (прибыли, выручки) в сделках, сторонами которых являются взаимозависимые лица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Затратный метод является методом определения соответствия цены в анализируемой сделке рыночной цене на основании сопоставления валовой рентабельности затрат лица, являющегося стороной анализируемой сделки (группы анализируемых однородных сделок), с рыночным интервалом валовой рентабельности затрат в сопоставимых сделках, определенным в порядке, предусмотренном статьей 105.8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Затратный метод может применяться, в частности,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при выполнении работ (оказании услуг) лицами, являющимися взаимозависимыми с продавцом (за исключением случаев, когда при выполнении работ (оказании услуг) используются нематериальные активы, оказывающие существенное влияние на уровень рентабельности затрат продавца);</w:t>
      </w:r>
    </w:p>
    <w:p>
      <w:pPr>
        <w:spacing w:after="120"/>
        <w:ind w:firstLine="709"/>
      </w:pPr>
      <w:r>
        <w:rPr>
          <w:sz w:val="24"/>
        </w:rPr>
        <w:t xml:space="preserve">2) при оказании услуг по управлению денежными средствами, включая осуществление торговых операций на рынке ценных бумаг и (или) валютном рынке;</w:t>
      </w:r>
    </w:p>
    <w:p>
      <w:pPr>
        <w:spacing w:after="120"/>
        <w:ind w:firstLine="709"/>
      </w:pPr>
      <w:r>
        <w:rPr>
          <w:sz w:val="24"/>
        </w:rPr>
        <w:t xml:space="preserve">3) при оказании услуг по исполнению функций единоличного исполнительного органа организации;</w:t>
      </w:r>
    </w:p>
    <w:p>
      <w:pPr>
        <w:spacing w:after="120"/>
        <w:ind w:firstLine="709"/>
      </w:pPr>
      <w:r>
        <w:rPr>
          <w:sz w:val="24"/>
        </w:rPr>
        <w:t xml:space="preserve">4) при продаже сырья или полуфабрикатов лицам, являющимся взаимозависимыми с продавцом;</w:t>
      </w:r>
    </w:p>
    <w:p>
      <w:pPr>
        <w:spacing w:after="120"/>
        <w:ind w:firstLine="709"/>
      </w:pPr>
      <w:r>
        <w:rPr>
          <w:sz w:val="24"/>
        </w:rPr>
        <w:t xml:space="preserve">5) при реализации товаров (работ, услуг) по долгосрочным договорам между взаимозависимыми лицами.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валовая рентабельность затрат продавца, являющегося стороной анализируемой сделки, по указанной сделке находится в пределах интервала рентабельности, определенного в порядке, предусмотренном статьей 105.8 настоящего Кодекса, для целей налогообложения признается, что цена, примененная в анализируемой сделке, соответствует рыночным ценам.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105.11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валовая рентабельность затрат продавца меньше минимального значения интервала рентабельности, определенного в порядке, предусмотренном статьей 105.8 настоящего Кодекса, или превышает максимальное значение интервала рентабельности, определенного в порядке, предусмотренном статьей 105.8 настоящего Кодекса, для целей налогообложения принимается цена, примененная в анализируемой сделке, определяемая исходя из фактической себестоимости реализованных товаров (работ, услуг) и валовой рентабельности затрат, которая соответствует медианному значению интервала рентабельности.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105.11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5. В целях применения затратного метода допускается использование данных информационно-ценовых агентств о ценах (интервалах цен) на идентичные (однородные) товары (работы, услуги) и определение интервала рыночной цены на идентичные (однородные) товары (работы,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105.11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6. Применение для целей налогообложения медианного значения интервала рентабельности в соответствии с пунктом 4 настоящей статьи производится при условии, что это не приводит к уменьшению суммы налога, подлежащего уплате в бюджетную систему Российской Федерации, или увеличению суммы убытка, определяемого в соответствии с главой 25 настоящего Кодекса,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08.06.2015 N 150-ФЗ , от 29.09.2019 N 325-ФЗ , от 27.11.2023 N 539-ФЗ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105.11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 вправе не применять положения пункта 4 настоящей статьи для целей осуществления корректировки налоговой базы по налогам, указанным в пункте 4 статьи 105.3 настоящего Кодекса, в соответствии с пунктом 6 статьи 105.3 настоящего Кодекса. Для указанных целей налогоплательщиком может быть применена валовая рентабельность затрат в пределах интервала рентабельности, определенного в порядке, предусмотренном статьей 105.8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27.11.2023 N 539-ФЗ)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105.11</dc:title>
  <dc:creator>АРБИТРАЖ! · arbi.ru</dc:creator>
  <cp:lastModifiedBy>АРБИТРАЖ!</cp:lastModifiedBy>
  <dcterms:created xsi:type="dcterms:W3CDTF">2026-10-23T02:37:04.708Z</dcterms:created>
</cp:coreProperties>
</file>