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14.4. Контролируемые сделки. Подготовка и представление документации в целях налогового контроля. Уведомление о контролируемых сделках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пунктом 7 настоящей статьи, налогоплательщик по требованию федерального органа исполнительной власти, уполномоченного по контролю и надзору в области налогов и сборов, представляет документацию относительно конкретной сделки (группы однородных сделок), указанной в требовании. Под документацией понимается совокупность документов или единый документ, составленный в произвольной форме (если составление таких документов по установленной форме не предусмотрено законодательством Российской Федерации) и содержащий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1) о деятельности налогоплательщика (лиц), совершившего контролируемую сделку (группу однородных сделок), связанной с этой сделкой:</w:t>
      </w:r>
    </w:p>
    <w:p>
      <w:pPr>
        <w:spacing w:after="120"/>
        <w:ind w:firstLine="709"/>
      </w:pPr>
      <w:r>
        <w:rPr>
          <w:sz w:val="24"/>
        </w:rPr>
        <w:t xml:space="preserve">перечень лиц (с указанием государств и территорий, налоговыми резидентами которых они являются), с которыми совершена контролируемая сделка, описание контролируемой сделки, ее коммерческих и (или) финансовых условий и прочую информацию о сделке;</w:t>
      </w:r>
    </w:p>
    <w:p>
      <w:pPr>
        <w:spacing w:after="120"/>
        <w:ind w:firstLine="709"/>
      </w:pPr>
      <w:r>
        <w:rPr>
          <w:sz w:val="24"/>
        </w:rPr>
        <w:t xml:space="preserve">сведения о функциях лиц, являющихся сторонами сделки, об используемых ими активах, связанных с этой контролируемой сделкой, и о принимаемых ими экономических (коммерческих) рисках, которые налогоплательщик учитывал при ее заключении, с приложением подтверждающих документов;</w:t>
      </w:r>
    </w:p>
    <w:p>
      <w:pPr>
        <w:spacing w:after="120"/>
        <w:ind w:firstLine="709"/>
      </w:pPr>
      <w:r>
        <w:rPr>
          <w:sz w:val="24"/>
        </w:rPr>
        <w:t xml:space="preserve">сведения о доходах и расходах, численности сотрудников, сумме прибыли (убытка), стоимости основных средств и нематериальных активов иностранного лица (иностранной структуры без образования юридического лица), являющегося стороной контролируемой сделки, за отчетный период, в котором совершена контролируемая сделка, с приложением подтверждающих документов, в том числе финансовой отчетности, если составление финансовой отчетности предусмотрено личным законом указанного лица (иностранной структуры без образования юридического лица) (в случае невозможности представления финансовой отчетности одновременно с документацией она представляется в срок не позднее двенадцати месяцев с даты окончания финансового года, в котором совершена контролируемая сделка). Положения настоящего абзаца применяются в случае, если контролируемая сделка совершена между лицами, признаваемыми взаимозависимыми лицами в соответствии со статьей 105.1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документы, содержащие регистрационные данные иностранного лица (иностранной структуры без образования юридического лица), являющегося стороной контролируемой сделки, и сведения о лицах, выступающих от имени указанного лица (иностранной структуры без образования юридического лица), предоставленные налогоплательщику при заключении контролируемой сделки;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2) об использованных методах, предусмотренных главой 14.3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анализ коммерческих и (или) финансовых условий контролируемой сделки, осуществленный налогоплательщиком в соответствии со статьей 105.5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обоснование причин выбора и способа применения метода (комбинации методов), предусмотренного статьей 105.7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описание корректировок для обеспечения необходимой степени сопоставимости финансовых и (или) коммерческих условий контролируемой сделки и сопоставляемых сделок (организаций);</w:t>
      </w:r>
    </w:p>
    <w:p>
      <w:pPr>
        <w:spacing w:after="120"/>
        <w:ind w:firstLine="709"/>
      </w:pPr>
      <w:r>
        <w:rPr>
          <w:sz w:val="24"/>
        </w:rPr>
        <w:t xml:space="preserve">указание на источники информации, используемые налогоплательщиком в соответствии со статьей 105.6 настоящего Кодекса, в рамках применения метода (комбинации методов), предусмотренного статьей 105.7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расчет интервала рыночных цен (интервала рентабельности) по контролируемой сделке в соответствии с методом (комбинацией методов), предусмотренным статьей 105.7 настоящего Кодекса, с описанием подхода, используемого для выбора сопоставимых сделок (организаций), и указанием минимального и максимального значений;</w:t>
      </w:r>
    </w:p>
    <w:p>
      <w:pPr>
        <w:spacing w:after="120"/>
        <w:ind w:firstLine="709"/>
      </w:pPr>
      <w:r>
        <w:rPr>
          <w:sz w:val="24"/>
        </w:rPr>
        <w:t xml:space="preserve">сумма полученных доходов (прибыли) и (или) сумма произведенных расходов (понесенных убытков) в результате совершения контролируемой сделки, полученной рентабельности;</w:t>
      </w:r>
    </w:p>
    <w:p>
      <w:pPr>
        <w:spacing w:after="120"/>
        <w:ind w:firstLine="709"/>
      </w:pPr>
      <w:r>
        <w:rPr>
          <w:sz w:val="24"/>
        </w:rPr>
        <w:t xml:space="preserve">сведения об экономической выгоде, получаемой от контролируемой сделки лицом, которым совершена эта сделка, в результате приобретения информации, прав на результаты интеллектуальной деятельности, прав на обозначения, индивидуализирующие предприятие, его продукцию, работы и услуги (фирменное наименование, товарные знаки, знаки обслуживания), и других исключительных прав (при наличии соответствующих обстоятельств);</w:t>
      </w:r>
    </w:p>
    <w:p>
      <w:pPr>
        <w:spacing w:after="120"/>
        <w:ind w:firstLine="709"/>
      </w:pPr>
      <w:r>
        <w:rPr>
          <w:sz w:val="24"/>
        </w:rPr>
        <w:t xml:space="preserve">сведения о прочих факторах, которые оказали влияние на цену (рентабельность), примененную в контролируемой сделке, в том числе сведения о рыночной стратегии лица, совершившего контролируемую сделку, если эта рыночная стратегия оказала влияние на цену (рентабельность), примененную в этой контролируемой сделке (при наличии соответствующих обстоятельств);</w:t>
      </w:r>
    </w:p>
    <w:p>
      <w:pPr>
        <w:spacing w:after="120"/>
        <w:ind w:firstLine="709"/>
      </w:pPr>
      <w:r>
        <w:rPr>
          <w:sz w:val="24"/>
        </w:rPr>
        <w:t xml:space="preserve">сведения о произведенных налогоплательщиком корректировках налоговой базы и сумм налога (убытка) в соответствии с пунктом 6 статьи 105.3 настоящего Кодекса (в случае их осуществления);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случае совершения налогоплательщиком, являющимся участником международной группы компаний, общая сумма дохода (выручки) которой не удовлетворяет условию, предусмотренному подпунктом 3 пункта 6 статьи 105.16-3 настоящего Кодекса, контролируемой сделки (группы однородных сделок), одной из сторон и (или) выгодоприобретателем которой является другой участник такой международной группы компаний, местом регистрации, либо местом жительства, либо местом налогового резидентства которого не является Российская Федерация, следующие сведения в дополнение к сведениям, указанным в подпунктах 1 и 2 настоящего пункта:</w:t>
      </w:r>
    </w:p>
    <w:p>
      <w:pPr>
        <w:spacing w:after="120"/>
        <w:ind w:firstLine="709"/>
      </w:pPr>
      <w:r>
        <w:rPr>
          <w:sz w:val="24"/>
        </w:rPr>
        <w:t xml:space="preserve">сведения о структуре органов управления налогоплательщика и идентификационные сведения о лицах, которым подлежит представлению управленческая отчетность, и государствах (территориях), в которых такие лица осуществляют свою основную деятельность;</w:t>
      </w:r>
    </w:p>
    <w:p>
      <w:pPr>
        <w:spacing w:after="120"/>
        <w:ind w:firstLine="709"/>
      </w:pPr>
      <w:r>
        <w:rPr>
          <w:sz w:val="24"/>
        </w:rPr>
        <w:t xml:space="preserve">сведения о деятельности налогоплательщика и его рыночной стратегии, информация о проведенной реструктуризации деятельности налогоплательщика в рамках международной группы компаний (при ее проведении в налоговом периоде совершения сделки или предшествующем налоговом периоде) и передаче (получении) нематериальных активов (в налоговом периоде совершения сделки или предшествующем налоговом периоде), а также пояснения о том, как такая сделка (сделки) повлияла на деятельность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сведения об основных конкурентах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описание причин, на основании которых сделан вывод о том, что цена, примененная в контролируемой сделке (группе однородных сделок), соответствует рыночной цене;</w:t>
      </w:r>
    </w:p>
    <w:p>
      <w:pPr>
        <w:spacing w:after="120"/>
        <w:ind w:firstLine="709"/>
      </w:pPr>
      <w:r>
        <w:rPr>
          <w:sz w:val="24"/>
        </w:rPr>
        <w:t xml:space="preserve">описание корректировок, производимых для обеспечения сопоставимости условий сделок (при наличии);</w:t>
      </w:r>
    </w:p>
    <w:p>
      <w:pPr>
        <w:spacing w:after="120"/>
        <w:ind w:firstLine="709"/>
      </w:pPr>
      <w:r>
        <w:rPr>
          <w:sz w:val="24"/>
        </w:rPr>
        <w:t xml:space="preserve">копии существенных соглашений между участниками международной группы компаний, оказывающих влияние на ценообразование в контролируемой сделке (группе однородных сделок);</w:t>
      </w:r>
    </w:p>
    <w:p>
      <w:pPr>
        <w:spacing w:after="120"/>
        <w:ind w:firstLine="709"/>
      </w:pPr>
      <w:r>
        <w:rPr>
          <w:sz w:val="24"/>
        </w:rPr>
        <w:t xml:space="preserve">копии соглашений о ценообразовании, налоговых разъяснений компетентных органов иностранных государств (территорий), применяемых в сделках между участниками международной группы компаний, которые имеют отношение к анализируемой контролируемой сделке (группе однородных сделок) и в подготовке которых не участвовал федеральный орган исполнительной власти, уполномоченный по контролю и надзору в области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аудиторское заключение в отношении бухгалтерской (финансовой) отчетности налогоплательщика за последний отчетный период (если налогоплательщик подлежит обязательному аудиту или проводил добровольный аудит).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в дополнение к документации, предусмотренной пунктом 1 настоящей статьи, вправе предоставить иную информацию, подтверждающую, что коммерческие и (или) финансовые условия контролируемых сделок соответствуют тем, которые имели место в сопоставимых сделках, с учетом произведенных корректировок для обеспечения сопоставимости коммерческих и (или) финансовых условий сопоставляемых сделок, сторонами которых являются лица, не признаваемые взаимозависимыми, с условиями контролируемой сделки.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3. Указанная в пункте 1 настоящей статьи документация может быть истребована у налогоплательщика федеральным органом исполнительной власти, уполномоченным по контролю и надзору в области налогов и сборов, не ранее 1 июня года, следующего за календарным годом, в котором совершены контролируемые сделки.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уполномоченный по контролю и надзору в области налогов и сборов, вправе направить налогоплательщику в порядке, предусмотренном пунктами 1 , 2 и 5 статьи 93 или пунктом 2 статьи 93.1 настоящего Кодекса, требование о представлении документации, предусмотренной пунктом 1 настоящей статьи, в отношении сделки (группы однородных сделок).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27.11.2023 N 539-ФЗ)</w:t>
      </w:r>
    </w:p>
    <w:p>
      <w:pPr>
        <w:spacing w:after="120"/>
        <w:ind w:firstLine="709"/>
      </w:pPr>
      <w:r>
        <w:rPr>
          <w:sz w:val="24"/>
        </w:rPr>
        <w:t xml:space="preserve">4. Положения пунктов 1 и 2 настоящей статьи не применяются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если цены применяются в сделках в соответствии с предписаниями антимонопольных органов в соответствии с пунктом 8 статьи 105.3 настоящего Кодекса либо цена является регулируемой и применяется в соответствии со статьей 105.4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2) при осуществлении налогоплательщиком сделок с лицами, с которыми он не является взаимозависимым, за исключением сделок, приравненных в целях настоящего Кодекса к сделкам между взаимозависимыми лицами в соответствии с подпунктами 1 - 3 пункта 1 статьи 105.14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сделках с ценными бумагами и производными финансовыми инструментами, обращающимися на организованном рынке ценных бумаг (с учетом положений главы 25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 осуществлении сделок, в отношении которых в соответствии с главой 14.6 настоящего Кодекса заключено соглашение о ценообразовании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5. По сделкам, предусмотренным пунктом 4 настоящей статьи, налогоплательщик вправе представить указанную документацию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6. Детальность и основательность представляемой в налоговые органы документации должны быть соразмерны сложности сделки и формированию ее цены (рентабельности сторон сделки).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Налогоплательщики, за исключением иностранных организаций, получающих только доходы, указанные в статье 309 настоящего Кодекса, являющиеся участниками международной группы компаний, помимо документации, предусмотренной настоящей статьей, в случаях, порядке и сроки, которые установлены главой 14.4-1 настоящего Кодекса, обязаны представлять в федеральный орган исполнительной власти, уполномоченный по контролю и надзору в области налогов и сборов, документацию, предусмотренную пунктом 4 статьи 105.16-1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27.11.2017 N 340-ФЗ)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105.15 применяется к сделкам, доходы/расходы по которым признаются с 01.01.2024, если иное не предусмотрено актом Президента РФ (ФЗ от 27.11.2023 N 539-ФЗ ).</w:t>
      </w:r>
    </w:p>
    <w:p>
      <w:pPr>
        <w:spacing w:after="120"/>
        <w:ind w:firstLine="709"/>
      </w:pPr>
      <w:r>
        <w:rPr>
          <w:sz w:val="24"/>
        </w:rPr>
        <w:t xml:space="preserve">8. В отношении сделок, которые в целях настоящего Кодекса признаются контролируемыми сделками в соответствии с пунктом 1 статьи 105.14 настоящего Кодекса и предметом которых являются товары, входящие в состав одной или нескольких товарных групп, указанных в пункте 5 статьи 105.14 настоящего Кодекса (за исключением сделок между взаимозависимыми лицами, местом регистрации, местом жительства либо местом налогового резидентства всех сторон и выгодоприобретателей по которым является Российская Федерация), налогоплательщики представляют документацию , предусмотренную пунктом 1 настоящей статьи, вместе с уведомлением о контролируемых сделках.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27.11.2023 N 539-ФЗ)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105.15</dc:title>
  <dc:creator>АРБИТРАЖ! · arbi.ru</dc:creator>
  <cp:lastModifiedBy>АРБИТРАЖ!</cp:lastModifiedBy>
  <dcterms:created xsi:type="dcterms:W3CDTF">2026-10-22T23:30:37.145Z</dcterms:created>
</cp:coreProperties>
</file>