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105.19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105.19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1. Российская организация - налогоплательщик, отнесенный в соответствии со статьей 83 настоящего Кодекса к категории крупнейших налогоплательщиков, или налогоплательщик, являющийся стороной сделок, которые признаются в соответствии с пунктом 1 статьи 105.14 настоящего Кодекса контролируемыми сделками и предметом которых являются товары, входящие в состав одной или нескольких товарных групп, указанных в пункте 5 статьи 105.14 настоящего Кодекса, и сумма доходов (расходов) по которым за календарный год составляет не менее 2 миллиардов рублей (далее в настоящей главе - налогоплательщик), вправе обратиться в федеральный орган исполнительной власти, уполномоченный по контролю и надзору в области налогов и сборов, с заявлением о заключении соглашения о ценообразовании для целей налогообложения (далее также - соглашение о ценообразовании).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Соглашение о ценообразовании представляет собой соглашение между налогоплательщиком и федеральным органом исполнительной власти, уполномоченным по контролю и надзору в области налогов и сборов, о порядке определения цен и (или) применения методов ценообразования в контролируемых сделках для целей налогообложения в течение срока его действия в целях обеспечения соблюдения положения пункта 1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Предметом соглашения о ценообразовании являются:</w:t>
      </w:r>
    </w:p>
    <w:p>
      <w:pPr>
        <w:spacing w:after="120"/>
        <w:ind w:firstLine="709"/>
      </w:pPr>
      <w:r>
        <w:rPr>
          <w:sz w:val="24"/>
        </w:rPr>
        <w:t xml:space="preserve">1) виды и (или) перечни контролируемых сделок и товаров (работ, услуг), в отношении которых заключается соглашение;</w:t>
      </w:r>
    </w:p>
    <w:p>
      <w:pPr>
        <w:spacing w:after="120"/>
        <w:ind w:firstLine="709"/>
      </w:pPr>
      <w:r>
        <w:rPr>
          <w:sz w:val="24"/>
        </w:rPr>
        <w:t xml:space="preserve">2) порядок определения цен и (или) описание и порядок применения методик (формул) ценообразования для целей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3) перечень источников информации, используемых при определении соответствия цен, примененных в сделках, условиям соглашения;</w:t>
      </w:r>
    </w:p>
    <w:p>
      <w:pPr>
        <w:spacing w:after="120"/>
        <w:ind w:firstLine="709"/>
      </w:pPr>
      <w:r>
        <w:rPr>
          <w:sz w:val="24"/>
        </w:rPr>
        <w:t xml:space="preserve">4) срок действия соглашения;</w:t>
      </w:r>
    </w:p>
    <w:p>
      <w:pPr>
        <w:spacing w:after="120"/>
        <w:ind w:firstLine="709"/>
      </w:pPr>
      <w:r>
        <w:rPr>
          <w:sz w:val="24"/>
        </w:rPr>
        <w:t xml:space="preserve">5) перечень, порядок и сроки представления документов, подтверждающих исполнение условий соглашения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4. Иные условия соглашения о ценообразовании, помимо указанных в пункте 3 настоящей статьи, могут быть установлены по соглашению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105.19</dc:title>
  <dc:creator>АРБИТРАЖ! · arbi.ru</dc:creator>
  <cp:lastModifiedBy>АРБИТРАЖ!</cp:lastModifiedBy>
  <dcterms:created xsi:type="dcterms:W3CDTF">2026-10-23T01:55:37.990Z</dcterms:created>
</cp:coreProperties>
</file>