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105.25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14.6. Соглашение о ценообразовании для целей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Условия соглашения о ценообразовании остаются неизменными в случае изменения законодательства о налогах и сборах в части регулирования отношений, возникающих при заключении соглашения о ценообразовании, внесении в него изменений и прекращении его действия.</w:t>
      </w:r>
    </w:p>
    <w:p>
      <w:pPr>
        <w:spacing w:after="120"/>
        <w:ind w:firstLine="709"/>
      </w:pPr>
      <w:r>
        <w:rPr>
          <w:sz w:val="24"/>
        </w:rPr>
        <w:t xml:space="preserve">2. В случае иных изменений законодательства Российской Федерации о налогах и сборах и законодательства Российской Федерации о таможенном деле, влияющих на деятельность налогоплательщика, стороны соглашения имеют право внести в текст соглашения о ценообразовании соответствующие изменения.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105.25</dc:title>
  <dc:creator>АРБИТРАЖ! · arbi.ru</dc:creator>
  <cp:lastModifiedBy>АРБИТРАЖ!</cp:lastModifiedBy>
  <dcterms:created xsi:type="dcterms:W3CDTF">2026-10-23T07:29:59.791Z</dcterms:created>
</cp:coreProperties>
</file>