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105.26</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14.7. Налоговый мониторинг. Регламент информационного взаимодействия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Предметом налогового мониторинга являются правильность исчисления (удержания), полнота и своевременность уплаты (перечисления) налогов, сборов, страховых взносов, обязанность по уплате (перечислению) которых в соответствии с настоящим Кодексом возложена на налогоплательщика (плательщика сбора, плательщика страховых взносов, налогового агента) - организацию (далее в настоящем разделе - организация).</w:t>
      </w:r>
    </w:p>
    <w:p>
      <w:pPr>
        <w:spacing w:after="120"/>
        <w:ind w:firstLine="709"/>
      </w:pPr>
      <w:r>
        <w:rPr>
          <w:sz w:val="24"/>
        </w:rPr>
        <w:t xml:space="preserve">Предметом налогового мониторинга в отношении участника консолидированной группы налогоплательщиков также является правильность определения полученных им доходов и осуществленных расходов для целей исчисления и уплаты налога на прибыль организаций по консолидированной группе налогоплательщиков.</w:t>
      </w:r>
    </w:p>
    <w:p>
      <w:pPr>
        <w:spacing w:after="120"/>
        <w:ind w:firstLine="709"/>
      </w:pPr>
      <w:r>
        <w:rPr>
          <w:sz w:val="24"/>
        </w:rPr>
        <w:t xml:space="preserve">При этом не является предметом налогового мониторинга в отношении ответственного участника консолидированной группы налогоплательщиков правильность определения другими участниками консолидированной группы налогоплательщиков полученных доходов и осуществленных расходов для целей исчисления и уплаты налога на прибыль организаций по консолидированной группе налогоплательщиков.</w:t>
      </w:r>
    </w:p>
    <w:p>
      <w:pPr>
        <w:spacing w:after="120"/>
        <w:ind w:firstLine="709"/>
      </w:pPr>
      <w:r>
        <w:rPr>
          <w:sz w:val="24"/>
        </w:rPr>
        <w:t xml:space="preserve">Предметом налогового мониторинга в отношении организации, признаваемой налогоплательщиком - участником соглашения о защите и поощрении капиталовложений, также является проверка фактических затрат, по которым Федеральным законом "О защите и поощрении капиталовложений в Российской Федерации" предусмотрено предоставление мер государственной поддержки.</w:t>
      </w:r>
    </w:p>
    <w:p>
      <w:pPr>
        <w:spacing w:after="120"/>
        <w:ind w:firstLine="709"/>
      </w:pPr>
      <w:r>
        <w:rPr>
          <w:sz w:val="24"/>
        </w:rPr>
        <w:t xml:space="preserve">(абзац введен Федеральным законом от 28.06.2022 N 225-ФЗ)</w:t>
      </w:r>
    </w:p>
    <w:p>
      <w:pPr>
        <w:spacing w:after="120"/>
        <w:ind w:firstLine="709"/>
      </w:pPr>
      <w:r>
        <w:rPr>
          <w:sz w:val="24"/>
        </w:rPr>
        <w:t xml:space="preserve">(п. 1 в ред. Федерального закона от 03.07.2016 N 240-ФЗ)</w:t>
      </w:r>
    </w:p>
    <w:p>
      <w:pPr>
        <w:spacing w:after="120"/>
        <w:ind w:firstLine="709"/>
      </w:pPr>
      <w:r>
        <w:rPr>
          <w:sz w:val="24"/>
        </w:rPr>
        <w:t xml:space="preserve">(см. текст в предыдущей редакции )</w:t>
      </w:r>
    </w:p>
    <w:p>
      <w:pPr>
        <w:spacing w:after="120"/>
        <w:ind w:firstLine="709"/>
      </w:pPr>
      <w:r>
        <w:rPr>
          <w:sz w:val="24"/>
        </w:rPr>
        <w:t xml:space="preserve">2. Налоговый мониторинг проводится налоговым органом на основании решения о проведении налогового мониторинга.</w:t>
      </w:r>
    </w:p>
    <w:p>
      <w:pPr>
        <w:spacing w:after="120"/>
        <w:ind w:firstLine="709"/>
      </w:pPr>
      <w:r>
        <w:rPr>
          <w:sz w:val="24"/>
        </w:rPr>
        <w:t xml:space="preserve">3. Если иное не установлено настоящим пунктом, организация вправе обратиться в налоговый орган с заявлением о проведении налогового мониторинга при одновременном соблюдении следующих условий:</w:t>
      </w:r>
    </w:p>
    <w:p>
      <w:pPr>
        <w:spacing w:after="120"/>
        <w:ind w:firstLine="709"/>
      </w:pPr>
      <w:r>
        <w:rPr>
          <w:sz w:val="24"/>
        </w:rPr>
        <w:t xml:space="preserve">(в ред. Федерального закона от 01.05.2016 N 130-ФЗ)</w:t>
      </w:r>
    </w:p>
    <w:p>
      <w:pPr>
        <w:spacing w:after="120"/>
        <w:ind w:firstLine="709"/>
      </w:pPr>
      <w:r>
        <w:rPr>
          <w:sz w:val="24"/>
        </w:rPr>
        <w:t xml:space="preserve">(см. текст в предыдущей редакции )</w:t>
      </w:r>
    </w:p>
    <w:p>
      <w:pPr>
        <w:spacing w:after="120"/>
        <w:ind w:firstLine="709"/>
      </w:pPr>
      <w:r>
        <w:rPr>
          <w:sz w:val="24"/>
        </w:rPr>
        <w:t xml:space="preserve">1) совокупная сумма налога на добавленную стоимость, акцизов, налога на доходы физических лиц, налога на прибыль организаций, налога на добычу полезных ископаемых и страховых взносов, подлежащих уплате (перечислению) в бюджетную систему Российской Федерации за календарный год, предшествующий году, в котором представляется заявление о проведении налогового мониторинга, без учета налогов, подлежащих уплате в связи с перемещением товаров через таможенную границу Евразийского экономического союза, составляет не менее 80 миллионов рублей.</w:t>
      </w:r>
    </w:p>
    <w:p>
      <w:pPr>
        <w:spacing w:after="120"/>
        <w:ind w:firstLine="709"/>
      </w:pPr>
      <w:r>
        <w:rPr>
          <w:sz w:val="24"/>
        </w:rPr>
        <w:t xml:space="preserve">(в ред. Федеральных законов от 03.07.2016 N 240-ФЗ , от 29.12.2020 N 470-ФЗ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При определении совокупной суммы налогов, указанных в настоящем подпункте, учитываются налоги, обязанность по уплате (перечислению) которых возложена на организацию как на налогоплательщика и налогового агента.</w:t>
      </w:r>
    </w:p>
    <w:p>
      <w:pPr>
        <w:spacing w:after="120"/>
        <w:ind w:firstLine="709"/>
      </w:pPr>
      <w:r>
        <w:rPr>
          <w:sz w:val="24"/>
        </w:rPr>
        <w:t xml:space="preserve">(абзац введен Федеральным законом от 03.07.2016 N 240-ФЗ; 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июля 2021 года. - Федеральный закон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2) суммарный объем полученных доходов по данным годовой бухгалтерской (финансовой) отчетности организации за календарный год, предшествующий году, в котором представляется заявление о проведении налогового мониторинга, составляет не менее 800 миллионов рублей;</w:t>
      </w:r>
    </w:p>
    <w:p>
      <w:pPr>
        <w:spacing w:after="120"/>
        <w:ind w:firstLine="709"/>
      </w:pPr>
      <w:r>
        <w:rPr>
          <w:sz w:val="24"/>
        </w:rPr>
        <w:t xml:space="preserve">(в ред. Федеральных законов от 29.12.2020 N 470-ФЗ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3) совокупная стоимость активов по данным бухгалтерской (финансовой) отчетности организации на 31 декабря календарного года, предшествующего году, в котором представляется заявление о проведении налогового мониторинга, составляет не менее 800 миллионов рублей.</w:t>
      </w:r>
    </w:p>
    <w:p>
      <w:pPr>
        <w:spacing w:after="120"/>
        <w:ind w:firstLine="709"/>
      </w:pPr>
      <w:r>
        <w:rPr>
          <w:sz w:val="24"/>
        </w:rPr>
        <w:t xml:space="preserve">(в ред. Федеральных законов от 29.12.2020 N 470-ФЗ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Абзацы второй - четвертый утратили силу. - Федеральный закон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Для организации - резидента особой экономической зоны выполнение условий, установленных настоящим пунктом, не является обязательным.</w:t>
      </w:r>
    </w:p>
    <w:p>
      <w:pPr>
        <w:spacing w:after="120"/>
        <w:ind w:firstLine="709"/>
      </w:pPr>
      <w:r>
        <w:rPr>
          <w:sz w:val="24"/>
        </w:rPr>
        <w:t xml:space="preserve">(абзац введен Федеральным законом от 02.11.2023 N 522-ФЗ)</w:t>
      </w:r>
    </w:p>
    <w:p>
      <w:pPr>
        <w:spacing w:after="120"/>
        <w:ind w:firstLine="709"/>
      </w:pPr>
      <w:r>
        <w:rPr>
          <w:sz w:val="24"/>
        </w:rPr>
        <w:t xml:space="preserve">3.1. Выполнение условий, установленных пунктом 3 настоящей статьи, не является обязательным для следующих организаций:</w:t>
      </w:r>
    </w:p>
    <w:p>
      <w:pPr>
        <w:spacing w:after="120"/>
        <w:ind w:firstLine="709"/>
      </w:pPr>
      <w:r>
        <w:rPr>
          <w:sz w:val="24"/>
        </w:rPr>
        <w:t xml:space="preserve">1) организации, в отношении которых проводится налоговый мониторинг;</w:t>
      </w:r>
    </w:p>
    <w:p>
      <w:pPr>
        <w:spacing w:after="120"/>
        <w:ind w:firstLine="709"/>
      </w:pPr>
      <w:r>
        <w:rPr>
          <w:sz w:val="24"/>
        </w:rPr>
        <w:t xml:space="preserve">2) организации, имеющие статус резидентов территории опережающего развития в соответствии с Федеральным законом от 29 декабря 2014 года N 473-ФЗ "О территориях опережающего развития в Российской Федерации", свободного порта Владивосток в соответствии с Федеральным законом от 13 июля 2015 года N 212-ФЗ "О свободном порте Владивосток", Арктической зоны Российской Федерации в соответствии с Федеральным законом от 13 июля 2020 года N 193-ФЗ "О государственной поддержке предпринимательской деятельности в Арктической зоне Российской Федерации";</w:t>
      </w:r>
    </w:p>
    <w:p>
      <w:pPr>
        <w:spacing w:after="120"/>
        <w:ind w:firstLine="709"/>
      </w:pPr>
      <w:r>
        <w:rPr>
          <w:sz w:val="24"/>
        </w:rPr>
        <w:t xml:space="preserve">3) организации, признаваемые налогоплательщиками - участниками соглашения о защите и поощрении капиталовложений;</w:t>
      </w:r>
    </w:p>
    <w:p>
      <w:pPr>
        <w:spacing w:after="120"/>
        <w:ind w:firstLine="709"/>
      </w:pPr>
      <w:r>
        <w:rPr>
          <w:sz w:val="24"/>
        </w:rPr>
        <w:t xml:space="preserve">4) организации, являющиеся участниками промышленного кластера, соответствующего требованиям к промышленным кластерам, установленным Правительством Российской Федерации;</w:t>
      </w:r>
    </w:p>
    <w:p>
      <w:pPr>
        <w:spacing w:after="120"/>
        <w:ind w:firstLine="709"/>
      </w:pPr>
      <w:r>
        <w:rPr>
          <w:sz w:val="24"/>
        </w:rPr>
        <w:t xml:space="preserve">5) организации - резиденты особой экономической зоны;</w:t>
      </w:r>
    </w:p>
    <w:p>
      <w:pPr>
        <w:spacing w:after="120"/>
        <w:ind w:firstLine="709"/>
      </w:pPr>
      <w:r>
        <w:rPr>
          <w:sz w:val="24"/>
        </w:rPr>
        <w:t xml:space="preserve">6) организации - бывшие участники консолидированной группы налогоплательщиков;</w:t>
      </w:r>
    </w:p>
    <w:p>
      <w:pPr>
        <w:spacing w:after="120"/>
        <w:ind w:firstLine="709"/>
      </w:pPr>
      <w:r>
        <w:rPr>
          <w:sz w:val="24"/>
        </w:rPr>
        <w:t xml:space="preserve">7) организация, если она (в ней) прямо и (или) косвенно участвует в другой организации (другая организация) и доля такого участия составляет 50 процентов и более и если эти организации вместе отвечают следующим критериям:</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совокупная сумма налога на добавленную стоимость, акцизов, налога на доходы физических лиц, налога на прибыль организаций, налога на добычу полезных ископаемых и страховых взносов, подлежащих уплате (перечислению) в бюджетную систему Российской Федерации всеми этими организациями за календарный год, предшествующий году, в котором представляется заявление о проведении налогового мониторинга, без учета налогов, подлежащих уплате в связи с перемещением товаров через таможенную границу Евразийского экономического союза, составляет не менее 1 миллиарда рублей. При определении указанной совокупной суммы налогов учитываются налоги, обязанность по уплате (перечислению) которых возложена на организацию как на налогоплательщика и налогового агента;</w:t>
      </w:r>
    </w:p>
    <w:p>
      <w:pPr>
        <w:spacing w:after="120"/>
        <w:ind w:firstLine="709"/>
      </w:pPr>
      <w:r>
        <w:rPr>
          <w:sz w:val="24"/>
        </w:rPr>
        <w:t xml:space="preserve">суммарный объем полученных доходов по данным годовых бухгалтерских (финансовых) отчетностей этих организаций за календарный год, предшествующий году, в котором представляется заявление о проведении налогового мониторинга, составляет не менее 10 миллиардов рублей;</w:t>
      </w:r>
    </w:p>
    <w:p>
      <w:pPr>
        <w:spacing w:after="120"/>
        <w:ind w:firstLine="709"/>
      </w:pPr>
      <w:r>
        <w:rPr>
          <w:sz w:val="24"/>
        </w:rPr>
        <w:t xml:space="preserve">совокупная стоимость активов по данным бухгалтерских (финансовых) отчетностей этих организаций на 31 декабря календарного года, предшествующего году, в котором представляется заявление о проведении налогового мониторинга, составляет не менее 10 миллиардов рублей;</w:t>
      </w:r>
    </w:p>
    <w:p>
      <w:pPr>
        <w:spacing w:after="120"/>
        <w:ind w:firstLine="709"/>
      </w:pPr>
      <w:r>
        <w:rPr>
          <w:sz w:val="24"/>
        </w:rPr>
        <w:t xml:space="preserve">8) организации, являющиеся операторами лотерей в соответствии с Федеральным законом от 11 ноября 2003 года N 138-ФЗ "О лотереях";</w:t>
      </w:r>
    </w:p>
    <w:p>
      <w:pPr>
        <w:spacing w:after="120"/>
        <w:ind w:firstLine="709"/>
      </w:pPr>
      <w:r>
        <w:rPr>
          <w:sz w:val="24"/>
        </w:rPr>
        <w:t xml:space="preserve">9) организации, признаваемые государственным или муниципальным учреждением;</w:t>
      </w:r>
    </w:p>
    <w:p>
      <w:pPr>
        <w:spacing w:after="120"/>
        <w:ind w:firstLine="709"/>
      </w:pPr>
      <w:r>
        <w:rPr>
          <w:sz w:val="24"/>
        </w:rPr>
        <w:t xml:space="preserve">10) организация - правопреемник организации, в отношении которой проводился налоговый мониторинг.</w:t>
      </w:r>
    </w:p>
    <w:p>
      <w:pPr>
        <w:spacing w:after="120"/>
        <w:ind w:firstLine="709"/>
      </w:pPr>
      <w:r>
        <w:rPr>
          <w:sz w:val="24"/>
        </w:rPr>
        <w:t xml:space="preserve">(пп. 10 введен Федеральным законом от 28.11.2025 N 425-ФЗ)</w:t>
      </w:r>
    </w:p>
    <w:p>
      <w:pPr>
        <w:spacing w:after="120"/>
        <w:ind w:firstLine="709"/>
      </w:pPr>
      <w:r>
        <w:rPr>
          <w:sz w:val="24"/>
        </w:rPr>
        <w:t xml:space="preserve">(п. 3.1 введен Федеральным законом от 08.08.2024 N 259-ФЗ)</w:t>
      </w:r>
    </w:p>
    <w:p>
      <w:pPr>
        <w:spacing w:after="120"/>
        <w:ind w:firstLine="709"/>
      </w:pPr>
      <w:r>
        <w:rPr>
          <w:sz w:val="24"/>
        </w:rPr>
        <w:t xml:space="preserve">4. Периодом, за который проводится налоговый мониторинг, является календарный год.</w:t>
      </w:r>
    </w:p>
    <w:p>
      <w:pPr>
        <w:spacing w:after="120"/>
        <w:ind w:firstLine="709"/>
      </w:pPr>
      <w:r>
        <w:rPr>
          <w:sz w:val="24"/>
        </w:rPr>
        <w:t xml:space="preserve">(в ред. Федерального закона от 01.05.2016 N 130-ФЗ)</w:t>
      </w:r>
    </w:p>
    <w:p>
      <w:pPr>
        <w:spacing w:after="120"/>
        <w:ind w:firstLine="709"/>
      </w:pPr>
      <w:r>
        <w:rPr>
          <w:sz w:val="24"/>
        </w:rPr>
        <w:t xml:space="preserve">(см. текст в предыдущей редакции )</w:t>
      </w:r>
    </w:p>
    <w:p>
      <w:pPr>
        <w:spacing w:after="120"/>
        <w:ind w:firstLine="709"/>
      </w:pPr>
      <w:r>
        <w:rPr>
          <w:sz w:val="24"/>
        </w:rPr>
        <w:t xml:space="preserve">5. Срок проведения налогового мониторинга за период, указанный в пункте 4 настоящей статьи, начинается с 1 января года указанного периода и оканчивается 1 октября года, следующего за указанным периодом.</w:t>
      </w:r>
    </w:p>
    <w:p>
      <w:pPr>
        <w:spacing w:after="120"/>
        <w:ind w:firstLine="709"/>
      </w:pPr>
      <w:r>
        <w:rPr>
          <w:sz w:val="24"/>
        </w:rPr>
        <w:t xml:space="preserve">В случае представления в календарном году, за который налоговый мониторинг не проводится, менее чем за три месяца до окончания срока проведения налогового мониторинга уточненной налоговой декларации (уточненного расчета) за налоговый (отчетный) период года, за который проводится или проведен налоговый мониторинг, срок проведения налогового мониторинга по решению руководителя (заместителя руководителя) налогового органа продлевается не более чем на три месяца.</w:t>
      </w:r>
    </w:p>
    <w:p>
      <w:pPr>
        <w:spacing w:after="120"/>
        <w:ind w:firstLine="709"/>
      </w:pPr>
      <w:r>
        <w:rPr>
          <w:sz w:val="24"/>
        </w:rPr>
        <w:t xml:space="preserve">(абзац введен Федеральным законом от 29.12.2020 N 470-ФЗ)</w:t>
      </w:r>
    </w:p>
    <w:p>
      <w:pPr>
        <w:spacing w:after="120"/>
        <w:ind w:firstLine="709"/>
      </w:pPr>
      <w:r>
        <w:rPr>
          <w:sz w:val="24"/>
        </w:rPr>
        <w:t xml:space="preserve">В случае представления в календарном году, за который налоговый мониторинг не проводится, менее чем за шесть месяцев до окончания срока проведения налогового мониторинга уточненной налоговой декларации по налогу на добавленную стоимость (акцизу), в которой сумма налога заявлена к возмещению, за налоговый период года, за который проводится или проведен налоговый мониторинг, срок проведения налогового мониторинга по решению руководителя (заместителя руководителя) налогового органа продлевается не более чем на шесть месяцев.</w:t>
      </w:r>
    </w:p>
    <w:p>
      <w:pPr>
        <w:spacing w:after="120"/>
        <w:ind w:firstLine="709"/>
      </w:pPr>
      <w:r>
        <w:rPr>
          <w:sz w:val="24"/>
        </w:rPr>
        <w:t xml:space="preserve">(абзац введен Федеральным законом от 29.12.2020 N 470-ФЗ)</w:t>
      </w:r>
    </w:p>
    <w:p>
      <w:pPr>
        <w:spacing w:after="120"/>
        <w:ind w:firstLine="709"/>
      </w:pPr>
      <w:r>
        <w:rPr>
          <w:sz w:val="24"/>
        </w:rPr>
        <w:t xml:space="preserve">Решение о продлении срока проведения налогового мониторинга принимается руководителем (заместителем руководителя) налогового органа до окончания срока, указанного в абзаце первом настоящего пункта.</w:t>
      </w:r>
    </w:p>
    <w:p>
      <w:pPr>
        <w:spacing w:after="120"/>
        <w:ind w:firstLine="709"/>
      </w:pPr>
      <w:r>
        <w:rPr>
          <w:sz w:val="24"/>
        </w:rPr>
        <w:t xml:space="preserve">(абзац введен Федеральным законом от 29.12.2020 N 470-ФЗ)</w:t>
      </w:r>
    </w:p>
    <w:p>
      <w:pPr>
        <w:spacing w:after="120"/>
        <w:ind w:firstLine="709"/>
      </w:pPr>
      <w:r>
        <w:rPr>
          <w:sz w:val="24"/>
        </w:rPr>
        <w:t xml:space="preserve">В случае продления срока проведения налогового мониторинга налоговый орган направляет организации решение о продлении срока проведения налогового мониторинга в течение пяти дней со дня принятия такого решения.</w:t>
      </w:r>
    </w:p>
    <w:p>
      <w:pPr>
        <w:spacing w:after="120"/>
        <w:ind w:firstLine="709"/>
      </w:pPr>
      <w:r>
        <w:rPr>
          <w:sz w:val="24"/>
        </w:rPr>
        <w:t xml:space="preserve">(абзац введен Федеральным законом от 29.12.2020 N 470-ФЗ)</w:t>
      </w:r>
    </w:p>
    <w:p>
      <w:pPr>
        <w:spacing w:after="120"/>
        <w:ind w:firstLine="709"/>
      </w:pPr>
      <w:r>
        <w:rPr>
          <w:sz w:val="24"/>
        </w:rPr>
        <w:t xml:space="preserve">В случае представления налоговой декларации (расчета) или уточненной налоговой декларации (уточненного расчета) за налоговый (отчетный) период года, за который проводится (проведен) налоговый мониторинг, такие налоговая декларация (расчет) или уточненная налоговая декларация (уточненный расчет) проверяется в рамках проведения налогового мониторинга, дата окончания проведения которого наступает не ранее чем через три месяца со дня представления соответствующей налоговой декларации (расчета).</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Срок проведения налогового мониторинга организации не прерывается при ее реорганизации в случае вступления ее правопреемника в налоговый мониторинг.</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5 в ред. Федерального закона от 01.05.2016 N 130-ФЗ)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6 ст. 105.26 (в ред. ФЗ от 29.12.2020 N 470-ФЗ) в части представления документов (информации) по телекоммуникационным каналам связи не применяется при проведении налогового мониторинга за периоды начиная с 2026 г.</w:t>
      </w:r>
    </w:p>
    <w:p>
      <w:pPr>
        <w:spacing w:after="120"/>
        <w:ind w:firstLine="709"/>
      </w:pPr>
      <w:r>
        <w:rPr>
          <w:sz w:val="24"/>
        </w:rPr>
        <w:t xml:space="preserve">6. В регламенте информационного взаимодействия указываются в частности:</w:t>
      </w:r>
    </w:p>
    <w:p>
      <w:pPr>
        <w:spacing w:after="120"/>
        <w:ind w:firstLine="709"/>
      </w:pPr>
      <w:r>
        <w:rPr>
          <w:sz w:val="24"/>
        </w:rPr>
        <w:t xml:space="preserve">1) сроки и порядок представления налоговому органу документов (информации), связанных с исчислением (удержанием), уплатой (перечислением) налогов, сборов, страховых взносов, в электронной форме по телекоммуникационным каналам связи и (или) порядок предоставления доступа к таким документам (информации) через информационные системы организации по выбору такой организации;</w:t>
      </w:r>
    </w:p>
    <w:p>
      <w:pPr>
        <w:spacing w:after="120"/>
        <w:ind w:firstLine="709"/>
      </w:pPr>
      <w:r>
        <w:rPr>
          <w:sz w:val="24"/>
        </w:rPr>
        <w:t xml:space="preserve">2) порядок ознакомления должностных лиц налогового органа с подлинниками документов, указанных в подпункте 1 настоящего пункта;</w:t>
      </w:r>
    </w:p>
    <w:p>
      <w:pPr>
        <w:spacing w:after="120"/>
        <w:ind w:firstLine="709"/>
      </w:pPr>
      <w:r>
        <w:rPr>
          <w:sz w:val="24"/>
        </w:rPr>
        <w:t xml:space="preserve">3) время доступа к указанным в подпункте 1 настоящего пункта документам (информации) в течение срока проведения налогового мониторинга за соответствующий период и следующих трех лет со дня окончания срока его проведения (в случае предоставления доступа к таким документам (информации) налоговому органу через информационные системы организации).</w:t>
      </w:r>
    </w:p>
    <w:p>
      <w:pPr>
        <w:spacing w:after="120"/>
        <w:ind w:firstLine="709"/>
      </w:pPr>
      <w:r>
        <w:rPr>
          <w:sz w:val="24"/>
        </w:rPr>
        <w:t xml:space="preserve">(в ред. Федерального закона от 28.06.2022 N 225-ФЗ)</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Организация, признаваемая налогоплательщиком - участником соглашения о защите и поощрении капиталовложений, в течение срока проведения в отношении указанной организации налогового мониторинга представляет налоговому органу документы (информацию) в электронной форме по телекоммуникационным каналам связи или через свои информационные системы предоставляет доступ к документам (информации), относящимся к фактическому осуществлению затрат, по которым Федеральным законом "О защите и поощрении капиталовложений в Российской Федерации" предусмотрено предоставление мер государственной поддержки. При этом в течение срока проведения налогового мониторинга за первый период, за который проводится налоговый мониторинг, представляются документы (информация) или доступ к документам (информации), относящиеся к осуществлению таких затрат за период до 1 января года, на который приходится первый период, за который проводится налоговый мониторинг, начинающийся с наиболее ранней из следующих дат:</w:t>
      </w:r>
    </w:p>
    <w:p>
      <w:pPr>
        <w:spacing w:after="120"/>
        <w:ind w:firstLine="709"/>
      </w:pPr>
      <w:r>
        <w:rPr>
          <w:sz w:val="24"/>
        </w:rPr>
        <w:t xml:space="preserve">(абзац введен Федеральным законом от 28.06.2022 N 225-ФЗ;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даты принятия решения об утверждении бюджета на капитальные расходы (без учета бюджета на расходы, связанные с подготовкой проектно-сметной документации, проведением проектно-изыскательских и геолого-разведочных работ);</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даты принятия решения об осуществлении инвестиционного проекта, в том числе об определении объема капитальных вложений (расходов), необходимых для его реализации;</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4) состав и структура раскрытия показателей регистров бухгалтерского и налогового учета, используемых в информационных системах организации, а также сведения о системе внутреннего контроля организации за совершаемыми фактами хозяйственной жизни и правильностью исчисления (удержания), полнотой и своевременностью уплаты (перечисления) налогов, сборов, страховых взносов.</w:t>
      </w:r>
    </w:p>
    <w:p>
      <w:pPr>
        <w:spacing w:after="120"/>
        <w:ind w:firstLine="709"/>
      </w:pPr>
      <w:r>
        <w:rPr>
          <w:sz w:val="24"/>
        </w:rPr>
        <w:t xml:space="preserve">Форма и требования к регламенту информационного взаимодействия, порядок внесения изменений (дополнений) в регламент информационного взаимодействия, требования к информационным системам организации, в том числе к порядку получения и обработки документов, используемых налоговыми органами при реализации своих полномочий в отношениях, регулируемых законодательством о налогах и сборах, формат документов, к которым предоставляется доступ налоговому органу, порядок и сроки получения доступа к таким информационным системам, порядок проведения проверки соответствия таких информационных систем организации указанным требованиям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 6 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7. Для целей проведения налогового мониторинга под системой внутреннего контроля за совершаемыми фактами хозяйственной жизни и правильностью исчисления (удержания), полнотой и своевременностью уплаты (перечисления) налогов, сборов, страховых взносов (далее в настоящей главе - система внутреннего контроля) понимается совокупность организационной структуры, методик и процедур, утвержденных организацией для упорядоченного и эффективного ведения финансово-хозяйственной деятельности (в том числе достижения финансовых и операционных показателей, сохранности активов), выявления, оценки, минимизации и (или) устранения рисков неправильного исчисления (удержания), неполной и (или) несвоевременной уплаты (перечисления) налогов, сборов, страховых взносов организации в целях выявления, исправления и предотвращения ошибок и искажения информации при исчислении (удержании) налогов, сборов, страховых взносов, полноты и своевременности их уплаты (перечисления), а также для своевременной подготовки бухгалтерской (финансовой), налоговой и иной отчетности организации.</w:t>
      </w:r>
    </w:p>
    <w:p>
      <w:pPr>
        <w:spacing w:after="120"/>
        <w:ind w:firstLine="709"/>
      </w:pPr>
      <w:r>
        <w:rPr>
          <w:sz w:val="24"/>
        </w:rPr>
        <w:t xml:space="preserve">(в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Применяемая организацией система внутреннего контроля должна соответствовать требованиям к организации системы внутреннего контроля, установленным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7 введен Федеральным законом от 03.07.2016 N 240-ФЗ)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105.26</dc:title>
  <dc:creator>АРБИТРАЖ! · arbi.ru</dc:creator>
  <cp:lastModifiedBy>АРБИТРАЖ!</cp:lastModifiedBy>
  <dcterms:created xsi:type="dcterms:W3CDTF">2026-10-23T08:22:24.481Z</dcterms:created>
</cp:coreProperties>
</file>