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об ответственности за совершение налоговых правонарушений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Виновным в совершении налогового правонарушения признается лицо, совершившее противоправное деяние умышленно или по неосторожности.</w:t>
      </w:r>
    </w:p>
    <w:p>
      <w:pPr>
        <w:spacing w:after="120"/>
        <w:ind w:firstLine="709"/>
      </w:pPr>
      <w:r>
        <w:rPr>
          <w:sz w:val="24"/>
        </w:rPr>
        <w:t xml:space="preserve">2. Налоговое правонарушение признается совершенным умышленно , если лицо, его совершившее, осознавало противоправный характер своих действий (бездействия), желало либо сознательно допускало наступление вредных последствий таких действий (бездействия).</w:t>
      </w:r>
    </w:p>
    <w:p>
      <w:pPr>
        <w:spacing w:after="120"/>
        <w:ind w:firstLine="709"/>
      </w:pPr>
      <w:r>
        <w:rPr>
          <w:sz w:val="24"/>
        </w:rPr>
        <w:t xml:space="preserve">3. Налоговое правонарушение признается совершенным по неосторожности, если лицо, его совершившее, не осознавало противоправного характера своих действий (бездействия) либо вредного характера последствий, возникших вследствие этих действий (бездействия), хотя должно было и могло это осознавать.</w:t>
      </w:r>
    </w:p>
    <w:p>
      <w:pPr>
        <w:spacing w:after="120"/>
        <w:ind w:firstLine="709"/>
      </w:pPr>
      <w:r>
        <w:rPr>
          <w:sz w:val="24"/>
        </w:rPr>
        <w:t xml:space="preserve">4. Вина организации в совершении налогового правонарушения определяется в зависимости от вины ее должностных лиц либо ее представителей, действия (бездействие) которых обусловили совершение данного налогового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110</dc:title>
  <dc:creator>АРБИТРАЖ! · arbi.ru</dc:creator>
  <cp:lastModifiedBy>АРБИТРАЖ!</cp:lastModifiedBy>
  <dcterms:created xsi:type="dcterms:W3CDTF">2026-10-23T02:56:32.588Z</dcterms:created>
</cp:coreProperties>
</file>