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120 НК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привлечь к ответственности плательщика УСН за грубое нарушение правил учета доходов и расходов и объектов налогообложения, если у него нет книги учета доходов и расходов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120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административной ответственности должностных лиц за грубое нарушение правил ведения бухгалтерского учета и представления бухгалтерской отчетности см. ст. 15.11 КоАП РФ.</w:t>
      </w:r>
    </w:p>
    <w:p>
      <w:pPr>
        <w:spacing w:after="120"/>
        <w:ind w:firstLine="709"/>
      </w:pPr>
      <w:r>
        <w:rPr>
          <w:sz w:val="24"/>
        </w:rPr>
        <w:t xml:space="preserve">1. Грубое нарушение правил учета доходов и (или) расходов и (или) объектов налогообложения, если эти деяния совершены в течение одного налогового периода, при отсутствии признаков налогового правонарушения, предусмотренного пунктом 2 настоящей статьи,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23.07.2013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деяния, если они совершены в течение более одного налогового периода,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взыскание штрафа в размере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Те же деяния, если они повлекли занижение налоговой базы (базы для исчисления страховых взносов),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взыскание штрафа в размере двадцати процентов от суммы неуплаченного налога (страховых взносов), но не менее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 грубым нарушением правил учета доходов и расходов и объектов налогообложения для целей настоящей статьи понимается отсутствие первичных документов , или отсутствие счетов-фактур , или регистров бухгалтерского учета или налогового учета, систематическое (два раза и более в течение календарного года) несвоевременное или неправильное отражение на счетах бухгалтерского учета, в регистрах налогового учета и в отчетности хозяйственных операций, денежных средств, материальных ценностей, нематериальных активов и финансовых вложений.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27.07.2010 N 229-ФЗ , от 23.07.2013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Исключен. - Федеральный закон от 09.07.1999 N 154-ФЗ.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120</dc:title>
  <dc:creator>АРБИТРАЖ! · arbi.ru</dc:creator>
  <cp:lastModifiedBy>АРБИТРАЖ!</cp:lastModifiedBy>
  <dcterms:created xsi:type="dcterms:W3CDTF">2026-10-23T05:13:07.839Z</dcterms:created>
</cp:coreProperties>
</file>