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1. Сообщение участником консолидированной группы налогоплательщиков ответственному участнику этой группы недостоверных данных (несообщение данных), приведшее к неуплате или неполной уплате налога на прибыль организаций по консолидированной группе налогоплательщиков ее ответственным участником, влечет взыскание штрафа в размере 20 процентов от неуплаченной суммы налога.</w:t>
      </w:r>
    </w:p>
    <w:p>
      <w:pPr>
        <w:spacing w:after="120"/>
        <w:ind w:firstLine="709"/>
      </w:pPr>
      <w:r>
        <w:rPr>
          <w:sz w:val="24"/>
        </w:rPr>
        <w:t xml:space="preserve">2. Деяния, предусмотренные пунктом 1 настоящей статьи, совершенные умышленно, влекут взыскание штрафа в размере 40 процентов от неуплаченной суммы налога.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122.1</dc:title>
  <dc:creator>АРБИТРАЖ! · arbi.ru</dc:creator>
  <cp:lastModifiedBy>АРБИТРАЖ!</cp:lastModifiedBy>
  <dcterms:created xsi:type="dcterms:W3CDTF">2026-10-23T04:48:05.724Z</dcterms:created>
</cp:coreProperties>
</file>