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126.3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1. Представление организациями и индивидуальными предпринимателями, указанными в абзаце первом пункта 3.1 статьи 221.1 настоящего Кодекса, налоговому органу недостоверных сведений о фактических произведенных налогоплательщиком расходах за оказанные услуги, содержащихся в документах, указанных в абзаце четвертом подпункта 2 , абзацах восьмом и десятом подпункта 3 , абзаце втором подпункта 4 и абзаце девятом подпункта 7 пункта 1 статьи 219 настоящего Кодекса, в рамках процедуры получения налогоплательщиком социальных налоговых вычетов в порядке, установленном статьей 221.1 настоящего Кодекса,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20 процентов от суммы налога, неправомерно полученного налогоплательщиком в связи с предоставлением социального налогового вычета в упрощенном порядке на основании представленных организациями и индивидуальными предпринимателями недостоверных сведений.</w:t>
      </w:r>
    </w:p>
    <w:p>
      <w:pPr>
        <w:spacing w:after="120"/>
        <w:ind w:firstLine="709"/>
      </w:pPr>
      <w:r>
        <w:rPr>
          <w:sz w:val="24"/>
        </w:rPr>
        <w:t xml:space="preserve">2. Организации и индивидуальные предприниматели освобождаются от ответственности, предусмотренной пунктом 1 настоящей статьи, в случае, если ими самостоятельно выявлены ошибки и уточненные документы, указанные в абзаце четвертом подпункта 2 , абзацах восьмом и десятом подпункта 3 , абзаце втором подпункта 4 и абзаце девятом подпункта 7 пункта 1 статьи 219 настоящего Кодекса, представлены налоговому органу до момента, когда соответствующие организации и индивидуальные предприниматели узнали об обнаружении налоговым органом недостоверности представленных сведений.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126.3</dc:title>
  <dc:creator>АРБИТРАЖ! · arbi.ru</dc:creator>
  <cp:lastModifiedBy>АРБИТРАЖ!</cp:lastModifiedBy>
  <dcterms:created xsi:type="dcterms:W3CDTF">2026-10-23T03:50:20.113Z</dcterms:created>
</cp:coreProperties>
</file>