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ст. 127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№ 146-ФЗ (часть первая), 117-ФЗ (часть вторая)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https://www.consultant.ru/document/cons_doc_LAW_19671/</w:t>
      </w:r>
    </w:p>
    <w:p>
      <w:pPr>
        <w:spacing w:after="120"/>
        <w:ind w:firstLine="709"/>
      </w:pPr>
      <w:r>
        <w:rPr>
          <w:sz w:val="24"/>
        </w:rPr>
        <w:t xml:space="preserve">Раздел: Глава 16. Виды налоговых правонарушений и ответственность за их совершение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ст. 127</dc:title>
  <dc:creator>АРБИТРАЖ! · arbi.ru</dc:creator>
  <cp:lastModifiedBy>АРБИТРАЖ!</cp:lastModifiedBy>
  <dcterms:created xsi:type="dcterms:W3CDTF">2026-10-23T04:48:28.891Z</dcterms:created>
</cp:coreProperties>
</file>