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настоящим Кодексом порядка регистрации в налоговом органе объекта налогообложения налогом на игорный бизнес либо порядка регистрации изменений количества объектов налогообложения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трехкратном размере ставки налога на игорный бизнес, установленной для соответствующего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2. Те же деяния, совершенные более одного раза, -</w:t>
      </w:r>
    </w:p>
    <w:p>
      <w:pPr>
        <w:spacing w:after="120"/>
        <w:ind w:firstLine="709"/>
      </w:pPr>
      <w:r>
        <w:rPr>
          <w:sz w:val="24"/>
        </w:rPr>
        <w:t xml:space="preserve">влекут взыскание штрафа в шестикратном размере ставки налога на игорный бизнес, установленной для соответствующего объекта налогообложения.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129.2</dc:title>
  <dc:creator>АРБИТРАЖ! · arbi.ru</dc:creator>
  <cp:lastModifiedBy>АРБИТРАЖ!</cp:lastModifiedBy>
  <dcterms:created xsi:type="dcterms:W3CDTF">2026-10-23T03:29:28.229Z</dcterms:created>
</cp:coreProperties>
</file>