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27.11.2017 N 340-ФЗ)</w:t>
      </w:r>
    </w:p>
    <w:p>
      <w:pPr>
        <w:spacing w:after="120"/>
        <w:ind w:firstLine="709"/>
      </w:pPr>
      <w:r>
        <w:rPr>
          <w:sz w:val="24"/>
        </w:rPr>
        <w:t xml:space="preserve">Нарушение организацией финансового рынка порядка установления налогового резидентства клиентов организации финансового рынка, выгодоприобретателей и лиц, прямо или косвенно их контролирующих, путем непринятия мер, установленных статьей 142.4 настоящего Кодекса,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50 000 рублей за непринятие мер в отношении каждого клиента, выгодоприобретателя либо лица, прямо или косвенно их контролирующего.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129.8</dc:title>
  <dc:creator>АРБИТРАЖ! · arbi.ru</dc:creator>
  <cp:lastModifiedBy>АРБИТРАЖ!</cp:lastModifiedBy>
  <dcterms:created xsi:type="dcterms:W3CDTF">2026-10-23T09:31:50.570Z</dcterms:created>
</cp:coreProperties>
</file>