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132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18. Виды нарушений банком, оператором платформы цифрового рубля обязанностей, предусмотренных законодательством о налогах и сборах, и ответственность за их совершение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 Открытие банком счета, оператором платформы цифрового рубля счета цифрового рубля российской организации, иностранной некоммерческой неправительственной организации, осуществляющей деятельность на территории Российской Федерации через отделение, аккредитованному филиалу, представительству иностранной организации, индивидуальному предпринимателю, счета, счета цифрового рубля инвестиционному товариществу, иностранной организации, не указанной в подпункте 1 пункта 1 статьи 86 настоящего Кодекса, нотариусу, занимающемуся частной практикой, или адвокату, учредившему адвокатский кабинет, при отсутствии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взыскание штрафа в размере 20 тысяч рублей.</w:t>
      </w:r>
    </w:p>
    <w:p>
      <w:pPr>
        <w:spacing w:after="120"/>
        <w:ind w:firstLine="709"/>
      </w:pPr>
      <w:r>
        <w:rPr>
          <w:sz w:val="24"/>
        </w:rPr>
        <w:t xml:space="preserve">2. Несообщение в установленный срок банком налоговому органу сведений об открытии или о закрытии счета, вклада (депозита), оператором платформы цифрового рубля сведений об открытии или о закрытии счета цифрового рубля, об изменении реквизитов счета, вклада (депозита), счета цифрового рубля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или адвоката, учредившего адвокатский кабинет, счета инвестиционного товарищества</w:t>
      </w:r>
    </w:p>
    <w:p>
      <w:pPr>
        <w:spacing w:after="120"/>
        <w:ind w:firstLine="709"/>
      </w:pPr>
      <w:r>
        <w:rPr>
          <w:sz w:val="24"/>
        </w:rPr>
        <w:t xml:space="preserve">влечет взыскание штрафа в размере 40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132</dc:title>
  <dc:creator>АРБИТРАЖ! · arbi.ru</dc:creator>
  <cp:lastModifiedBy>АРБИТРАЖ!</cp:lastModifiedBy>
  <dcterms:created xsi:type="dcterms:W3CDTF">2026-10-23T01:55:41.012Z</dcterms:created>
</cp:coreProperties>
</file>