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134</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18. Виды нарушений банком, оператором платформы цифрового рубля обязанностей, предусмотренных законодательством о налогах и сборах, и ответственность за их совершение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134 НК РФ</w:t>
      </w:r>
    </w:p>
    <w:p>
      <w:pPr>
        <w:spacing w:after="120"/>
        <w:ind w:firstLine="709"/>
      </w:pPr>
      <w:r>
        <w:rPr>
          <w:sz w:val="24"/>
        </w:rPr>
        <w:t xml:space="preserve">- Банк оспаривает штраф за неисполнение решения налогового органа о приостановлении операций по счетам</w:t>
      </w:r>
    </w:p>
    <w:p>
      <w:pPr>
        <w:spacing w:after="120"/>
        <w:ind w:firstLine="709"/>
      </w:pPr>
      <w:r>
        <w:rPr>
          <w:sz w:val="24"/>
        </w:rPr>
        <w:t xml:space="preserve">КонсультантПлюс: примечание.</w:t>
      </w:r>
    </w:p>
    <w:p>
      <w:pPr>
        <w:spacing w:after="120"/>
        <w:ind w:firstLine="709"/>
      </w:pPr>
      <w:r>
        <w:rPr>
          <w:sz w:val="24"/>
        </w:rPr>
        <w:t xml:space="preserve">Об административной ответственности должностных лиц кредитной организации за неисполнение решения о приостановлении операций по счетам см. ст. 15.9 КоАП РФ.</w:t>
      </w:r>
    </w:p>
    <w:p>
      <w:pPr>
        <w:spacing w:after="120"/>
        <w:ind w:firstLine="709"/>
      </w:pPr>
      <w:r>
        <w:rPr>
          <w:sz w:val="24"/>
        </w:rPr>
        <w:t xml:space="preserve">1. Исполнение банком, оператором платформы цифрового рубля в случае приостановления операций по счетам, счету цифрового рубля налогоплательщика, плательщика сбора, плательщика страховых взносов или налогового агента, счету, счету цифрового рубля инвестиционного товарищества либо при наличии ограничений, предусмотренных пунктом 12 статьи 76 настоящего Кодекса, его поручения на перечисление средств, не связанного с исполнением обязанностей по уплате налога (авансового платежа), сбора, страховых взносов, пеней, штрафа либо иного платежного поручения, имеющего в соответствии с законодательством Российской Федерации преимущество в очередности исполнения перед платежами в бюджетную систему Российской Федерации,</w:t>
      </w:r>
    </w:p>
    <w:p>
      <w:pPr>
        <w:spacing w:after="120"/>
        <w:ind w:firstLine="709"/>
      </w:pPr>
      <w:r>
        <w:rPr>
          <w:sz w:val="24"/>
        </w:rPr>
        <w:t xml:space="preserve">влечет взыскание штрафа в размере 20 процентов от суммы, перечисленной в соответствии с поручением налогоплательщика, плательщика сбора, плательщика страховых взносов или налогового агента, но не более суммы задолженности, а при отсутствии задолженности - в размере 20 тысяч рублей.</w:t>
      </w:r>
    </w:p>
    <w:p>
      <w:pPr>
        <w:spacing w:after="120"/>
        <w:ind w:firstLine="709"/>
      </w:pPr>
      <w:r>
        <w:rPr>
          <w:sz w:val="24"/>
        </w:rPr>
        <w:t xml:space="preserve">(п. 1 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2. Исполнение банком в случае приостановления операций по счетам налогоплательщика, плательщика сбора, плательщика страховых взносов или налогового агента, счету инвестиционного товарищества либо при наличии ограничений, предусмотренных пунктом 12 статьи 76 настоящего Кодекса, его поручения на проведение расходных операций по счетам в драгоценных металлах, не связанного с исполнением обязанностей по уплате налога (авансового платежа), сбора, страховых взносов, пеней, штрафа либо иного платежного поручения, имеющего в соответствии с законодательством Российской Федерации преимущество в очередности исполнения перед платежами в бюджетную систему Российской Федерации,</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взыскание штрафа в размере 20 процентов от суммы денежных средств, эквивалентной стоимости драгоценных металлов, с которыми были проведены расходные операции по счету, в соответствии с поручением налогоплательщика, плательщика сбора, плательщика страховых взносов или налогового агента, счету инвестиционного товарищества, но не более суммы задолженности, а при отсутствии задолженности - в размере 20 тысяч рублей.</w:t>
      </w:r>
    </w:p>
    <w:p>
      <w:pPr>
        <w:spacing w:after="120"/>
        <w:ind w:firstLine="709"/>
      </w:pPr>
      <w:r>
        <w:rPr>
          <w:sz w:val="24"/>
        </w:rPr>
        <w:t xml:space="preserve">(п. 2 введен Федеральным законом от 27.11.2017 N 343-ФЗ)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134</dc:title>
  <dc:creator>АРБИТРАЖ! · arbi.ru</dc:creator>
  <cp:lastModifiedBy>АРБИТРАЖ!</cp:lastModifiedBy>
  <dcterms:created xsi:type="dcterms:W3CDTF">2026-10-23T01:55:38.499Z</dcterms:created>
</cp:coreProperties>
</file>