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135.3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Виды нарушений банком, оператором платформы цифрового рубля обязанностей, предусмотренных законодательством о налогах и сборах,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20.04.2021 N 100-ФЗ)</w:t>
      </w:r>
    </w:p>
    <w:p>
      <w:pPr>
        <w:spacing w:after="120"/>
        <w:ind w:firstLine="709"/>
      </w:pPr>
      <w:r>
        <w:rPr>
          <w:sz w:val="24"/>
        </w:rPr>
        <w:t xml:space="preserve">1. Представление банком налоговому органу недостоверных сведений о фактически произведенных налогоплательщиком расходах на новое строительство либо приобретение на территории Российской Федерации одного или нескольких объектов недвижимого имущества, указанных в подпункте 3 пункта 1 статьи 220 настоящего Кодекса, и (или) на погашение процентов, предусмотренных подпунктом 4 пункта 1 статьи 220 настоящего Кодекса, в рамках процедуры получения налогоплательщиком имущественных налоговых вычетов в порядке, установленном статьей 221.1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 процентов от суммы налога, неправомерно полученного налогоплательщиком в связи с предоставлением имущественного налогового вычета в упрощенном порядке на основании представленных банком недостоверных сведений.</w:t>
      </w:r>
    </w:p>
    <w:p>
      <w:pPr>
        <w:spacing w:after="120"/>
        <w:ind w:firstLine="709"/>
      </w:pPr>
      <w:r>
        <w:rPr>
          <w:sz w:val="24"/>
        </w:rPr>
        <w:t xml:space="preserve">2. Банк освобождается от ответственности, предусмотренной пунктом 1 настоящей статьи, в случае, если им самостоятельно выявлены ошибки и уточненные сведения представлены налоговому органу до момента, когда банк узнал об обнаружении налоговым органом недостоверности представленных банком сведений.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135.3</dc:title>
  <dc:creator>АРБИТРАЖ! · arbi.ru</dc:creator>
  <cp:lastModifiedBy>АРБИТРАЖ!</cp:lastModifiedBy>
  <dcterms:created xsi:type="dcterms:W3CDTF">2026-10-23T05:50:35.736Z</dcterms:created>
</cp:coreProperties>
</file>