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Порядок обжалования актов налоговых органов и действий или бездействия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153-ФЗ)</w:t>
      </w:r>
    </w:p>
    <w:p>
      <w:pPr>
        <w:spacing w:after="120"/>
        <w:ind w:firstLine="709"/>
      </w:pPr>
      <w:r>
        <w:rPr>
          <w:sz w:val="24"/>
        </w:rPr>
        <w:t xml:space="preserve">1. Жалоба подается в письменной форме. Жалоба подписывается лицом, ее подавшим,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Жалоба может быть направлена в электронной форме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Форматы и порядок представления жалобы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2. В жалобе указываются :</w:t>
      </w:r>
    </w:p>
    <w:p>
      <w:pPr>
        <w:spacing w:after="120"/>
        <w:ind w:firstLine="709"/>
      </w:pPr>
      <w:r>
        <w:rPr>
          <w:sz w:val="24"/>
        </w:rPr>
        <w:t xml:space="preserve">1) фамилия, имя, отчество и место жительства физического лица, подающего жалобу, или наименование и адрес организации, подающей жалобу;</w:t>
      </w:r>
    </w:p>
    <w:p>
      <w:pPr>
        <w:spacing w:after="120"/>
        <w:ind w:firstLine="709"/>
      </w:pPr>
      <w:r>
        <w:rPr>
          <w:sz w:val="24"/>
        </w:rPr>
        <w:t xml:space="preserve">2) обжалуемые акт налогового органа ненормативного характера, действия или бездействие его должностных лиц;</w:t>
      </w:r>
    </w:p>
    <w:p>
      <w:pPr>
        <w:spacing w:after="120"/>
        <w:ind w:firstLine="709"/>
      </w:pPr>
      <w:r>
        <w:rPr>
          <w:sz w:val="24"/>
        </w:rPr>
        <w:t xml:space="preserve">3) наименование налогового органа, акт ненормативного характера которого, действия или бездействие должностных лиц которого обжалуются;</w:t>
      </w:r>
    </w:p>
    <w:p>
      <w:pPr>
        <w:spacing w:after="120"/>
        <w:ind w:firstLine="709"/>
      </w:pPr>
      <w:r>
        <w:rPr>
          <w:sz w:val="24"/>
        </w:rPr>
        <w:t xml:space="preserve">4) основания, по которым лицо, подающее жалобу, считает, что его права нарушены;</w:t>
      </w:r>
    </w:p>
    <w:p>
      <w:pPr>
        <w:spacing w:after="120"/>
        <w:ind w:firstLine="709"/>
      </w:pPr>
      <w:r>
        <w:rPr>
          <w:sz w:val="24"/>
        </w:rPr>
        <w:t xml:space="preserve">5) требования лица, подающего жалобу;</w:t>
      </w:r>
    </w:p>
    <w:p>
      <w:pPr>
        <w:spacing w:after="120"/>
        <w:ind w:firstLine="709"/>
      </w:pPr>
      <w:r>
        <w:rPr>
          <w:sz w:val="24"/>
        </w:rPr>
        <w:t xml:space="preserve">6) способ получения решения по жалобе: на бумажном носителе, в электронной форме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3. В жалобе могут быть указаны номера телефонов, факсов, адреса электронной почты и иные необходимые для своевременного рассмотрения жалобы сведения.</w:t>
      </w:r>
    </w:p>
    <w:p>
      <w:pPr>
        <w:spacing w:after="120"/>
        <w:ind w:firstLine="709"/>
      </w:pPr>
      <w:r>
        <w:rPr>
          <w:sz w:val="24"/>
        </w:rPr>
        <w:t xml:space="preserve">4. В случае подачи жалобы уполномоченным представителем лица, обжалующего акт налогового органа ненормативного характера, действия или бездействие его должностных лиц, к жалобе прилагаются документы, подтверждающие полномочия этого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5. К жалобе могут быть приложены документы , подтверждающие доводы лица, подающего жалобу.</w:t>
      </w:r>
    </w:p>
    <w:p>
      <w:pPr>
        <w:spacing w:after="120"/>
        <w:ind w:firstLine="709"/>
      </w:pPr>
      <w:r>
        <w:rPr>
          <w:sz w:val="24"/>
        </w:rPr>
        <w:t xml:space="preserve">6. Положения настоящей статьи применяются также к апелляционной жалобе.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139.2</dc:title>
  <dc:creator>АРБИТРАЖ! · arbi.ru</dc:creator>
  <cp:lastModifiedBy>АРБИТРАЖ!</cp:lastModifiedBy>
  <dcterms:created xsi:type="dcterms:W3CDTF">2026-10-23T13:13:09.935Z</dcterms:created>
</cp:coreProperties>
</file>