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142.7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20.3. Взаимосогласительная процедура в соответствии с международным договором Российской Федерации по вопросам налогообложения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29.09.2019 N 325-ФЗ)</w:t>
      </w:r>
    </w:p>
    <w:p>
      <w:pPr>
        <w:spacing w:after="120"/>
        <w:ind w:firstLine="709"/>
      </w:pPr>
      <w:r>
        <w:rPr>
          <w:sz w:val="24"/>
        </w:rPr>
        <w:t xml:space="preserve">В целях настоящего Кодекса взаимосогласительной процедурой в соответствии с международным договором Российской Федерации по вопросам налогообложения (далее в настоящей главе - взаимосогласительная процедура) признается процедура разрешения споров о порядке налогообложения лица в отношении его доходов, прибыли и имущества при применении положений международного договора Российской Федерации по вопросам налогообложения.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142.7</dc:title>
  <dc:creator>АРБИТРАЖ! · arbi.ru</dc:creator>
  <cp:lastModifiedBy>АРБИТРАЖ!</cp:lastModifiedBy>
  <dcterms:created xsi:type="dcterms:W3CDTF">2026-10-24T01:24:15.419Z</dcterms:created>
</cp:coreProperties>
</file>