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Пленум ВС РФ № 25 о ГК РФ, ст. —</w:t>
      </w:r>
    </w:p>
    <w:p>
      <w:pPr>
        <w:spacing w:after="120"/>
        <w:ind w:firstLine="709"/>
      </w:pPr>
      <w:r>
        <w:rPr>
          <w:sz w:val="24"/>
        </w:rPr>
        <w:t xml:space="preserve">Акт: Постановление Пленума Верховного Суда РФ от 23.06.2015 № 25 «О применении судами некоторых положений раздела I части первой Гражданского кодекса Российской Федерации» № 25</w:t>
      </w:r>
    </w:p>
    <w:p>
      <w:pPr>
        <w:spacing w:after="120"/>
        <w:ind w:firstLine="709"/>
      </w:pPr>
      <w:r>
        <w:rPr>
          <w:sz w:val="24"/>
        </w:rPr>
        <w:t xml:space="preserve">Первоисточник: Бюллетень Верховного Суда РФ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Пункт 1. Положения Гражданского кодекса Российской Федерации, законы и иные акты, содержащие нормы гражданского права, применяются с учётом того, что в силу пунктов 3 и 4 статьи 1 ГК РФ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добросовестно. Никто не вправе извлекать преимущество из своего незаконного или недобросовестного поведения.</w:t>
      </w:r>
    </w:p>
    <w:p/>
    <w:p>
      <w:pPr>
        <w:spacing w:after="120"/>
        <w:ind w:firstLine="709"/>
      </w:pPr>
      <w:r>
        <w:rPr>
          <w:sz w:val="24"/>
        </w:rPr>
        <w:t xml:space="preserve">Оценивая действия сторон как добросовестные или недобросовестные, следует исходить из поведения, ожидаемого от любого участника гражданского оборота, учитывающего права и законные интересы другой стороны, содействующего ей, в том числе в получении необходимой информации. Если будет установлено недобросовестное поведение одной из сторон, суд в зависимости от обстоятельств дела и с учётом характера и последствий такого поведения отказывает в защите принадлежащего ей права полностью или частично, а также применяет иные меры, обеспечивающие защиту интересов добросовестной стороны.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Пленум ВС РФ № 25 о ГК РФ, ст. —</dc:title>
  <dc:creator>АРБИТРАЖ! · arbi.ru</dc:creator>
  <cp:lastModifiedBy>АРБИТРАЖ!</cp:lastModifiedBy>
  <dcterms:created xsi:type="dcterms:W3CDTF">2026-10-20T01:12:29.437Z</dcterms:created>
</cp:coreProperties>
</file>