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1. Семейное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 названным в статье 2 настоящего Кодекса имущественным и личным неимущественным отношениям между членами семьи, не урегулированным семейным законодательством ( статья 3 настоящего Кодекса), применяется гражданское законодательство постольку, поскольку это не противоречит существу семейных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4</dc:title>
  <dc:creator>АРБИТРАЖ! · arbi.ru</dc:creator>
  <cp:lastModifiedBy>АРБИТРАЖ!</cp:lastModifiedBy>
  <dcterms:created xsi:type="dcterms:W3CDTF">2026-10-23T11:01:32.893Z</dcterms:created>
</cp:coreProperties>
</file>