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9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2. Осуществление и защита семейных прав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 требования, вытекающие из семейных отношений, исковая давность не распространяется, за исключением случаев, если срок для защиты нарушенного права установлен настоящим Кодексом .</w:t>
      </w:r>
    </w:p>
    <w:p>
      <w:pPr>
        <w:spacing w:after="120"/>
        <w:ind w:firstLine="709"/>
      </w:pPr>
      <w:r>
        <w:rPr>
          <w:sz w:val="24"/>
        </w:rPr>
        <w:t xml:space="preserve">2. При применении норм, устанавливающих исковую давность, суд руководствуется правилами статей 198 - 200 и 202 - 205 Гражданского кодекса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9</dc:title>
  <dc:creator>АРБИТРАЖ! · arbi.ru</dc:creator>
  <cp:lastModifiedBy>АРБИТРАЖ!</cp:lastModifiedBy>
  <dcterms:created xsi:type="dcterms:W3CDTF">2026-10-23T06:37:53.745Z</dcterms:created>
</cp:coreProperties>
</file>