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10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3. Условия и порядок заключения брака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Брак заключается в органах записи актов гражданского состояния.</w:t>
      </w:r>
    </w:p>
    <w:p>
      <w:pPr>
        <w:spacing w:after="120"/>
        <w:ind w:firstLine="709"/>
      </w:pPr>
      <w:r>
        <w:rPr>
          <w:sz w:val="24"/>
        </w:rPr>
        <w:t xml:space="preserve">2. Права и обязанности супругов возникают со дня государственной регистрации заключения брака в органах записи актов гражданского состояния.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10</dc:title>
  <dc:creator>АРБИТРАЖ! · arbi.ru</dc:creator>
  <cp:lastModifiedBy>АРБИТРАЖ!</cp:lastModifiedBy>
  <dcterms:created xsi:type="dcterms:W3CDTF">2026-10-23T05:36:09.467Z</dcterms:created>
</cp:coreProperties>
</file>