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13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3. Условия и порядок заключения брака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Брачный возраст устанавливается в восемнадцать лет.</w:t>
      </w:r>
    </w:p>
    <w:p>
      <w:pPr>
        <w:spacing w:after="120"/>
        <w:ind w:firstLine="709"/>
      </w:pPr>
      <w:r>
        <w:rPr>
          <w:sz w:val="24"/>
        </w:rPr>
        <w:t xml:space="preserve">2. При наличии уважительных причин органы местного самоуправления по месту жительства лиц, желающих вступить в брак, вправе по просьбе данных лиц разрешить вступить в брак лицам, достигшим возраста шестнадцати лет.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15.11.1997 N 140-ФЗ)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Порядок и условия, при наличии которых вступление в брак в виде исключения с учетом особых обстоятельств может быть разрешено до достижения возраста шестнадцати лет, могут быть установлены законами субъектов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13</dc:title>
  <dc:creator>АРБИТРАЖ! · arbi.ru</dc:creator>
  <cp:lastModifiedBy>АРБИТРАЖ!</cp:lastModifiedBy>
  <dcterms:created xsi:type="dcterms:W3CDTF">2026-10-23T02:36:28.661Z</dcterms:created>
</cp:coreProperties>
</file>