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Недействительность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Брак, признанный судом недействительным, не порождает прав и обязанностей супругов, предусмотренных настоящим Кодексом , за исключением случаев, установленных пунктами 4 и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К имуществу, приобретенному совместно лицами, брак которых признан недействительным, применяются положения Гражданского кодекса Российской Федерации о долевой собственности. Брачный договор, заключенный супругами ( статьи 40 - 42 настоящего Кодекса), признается недействительным.</w:t>
      </w:r>
    </w:p>
    <w:p>
      <w:pPr>
        <w:spacing w:after="120"/>
        <w:ind w:firstLine="709"/>
      </w:pPr>
      <w:r>
        <w:rPr>
          <w:sz w:val="24"/>
        </w:rPr>
        <w:t xml:space="preserve">3. Признание брака недействительным не влияет на права детей, родившихся в таком браке или в течение трехсот дней со дня признания брака недействительным ( пункт 2 статьи 48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4. При вынесении решения о признании брака недействительным суд вправе признать за супругом, права которого нарушены заключением такого брака (добросовестным супругом), право на получение от другого супруга содержания в соответствии со статьями 90 и 91 настоящего Кодекса, а в отношении раздела имущества, приобретенного совместно до момента признания брака недействительным, вправе применить положения, установленные статьями 34 , 38 и 39 настоящего Кодекса, а также признать действительным брачный договор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Добросовестный супруг вправе требовать возмещения причиненного ему материального и морального вреда по правилам, предусмотренным гражданским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5. Добросовестный супруг вправе при признании брака недействительным сохранить фамилию, избранную им при государственной регистрации заключения брака.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30</dc:title>
  <dc:creator>АРБИТРАЖ! · arbi.ru</dc:creator>
  <cp:lastModifiedBy>АРБИТРАЖ!</cp:lastModifiedBy>
  <dcterms:created xsi:type="dcterms:W3CDTF">2026-10-23T06:36:35.591Z</dcterms:created>
</cp:coreProperties>
</file>