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8. Договорный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Брачный договор может быть заключен как до государственной регистрации заключения брака, так и в любое время в период брака.</w:t>
      </w:r>
    </w:p>
    <w:p>
      <w:pPr>
        <w:spacing w:after="120"/>
        <w:ind w:firstLine="709"/>
      </w:pPr>
      <w:r>
        <w:rPr>
          <w:sz w:val="24"/>
        </w:rPr>
        <w:t xml:space="preserve">Брачный договор, заключенный до государственной регистрации заключения брака, вступает в силу со дня государственной регистрации заключения брака.</w:t>
      </w:r>
    </w:p>
    <w:p>
      <w:pPr>
        <w:spacing w:after="120"/>
        <w:ind w:firstLine="709"/>
      </w:pPr>
      <w:r>
        <w:rPr>
          <w:sz w:val="24"/>
        </w:rPr>
        <w:t xml:space="preserve">2. Брачный договор заключается в письменной форме и подлежит нотариальному удостоверению.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41</dc:title>
  <dc:creator>АРБИТРАЖ! · arbi.ru</dc:creator>
  <cp:lastModifiedBy>АРБИТРАЖ!</cp:lastModifiedBy>
  <dcterms:created xsi:type="dcterms:W3CDTF">2026-10-23T13:24:27.089Z</dcterms:created>
</cp:coreProperties>
</file>