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10. Установление происхождения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Упомянутый в данной статье п. 4 ст. 48 считается пунктом 3 указанной статьи (ФЗ от 15.11.1997 N 140-ФЗ ).</w:t>
      </w:r>
    </w:p>
    <w:p>
      <w:pPr>
        <w:spacing w:after="120"/>
        <w:ind w:firstLine="709"/>
      </w:pPr>
      <w:r>
        <w:rPr>
          <w:sz w:val="24"/>
        </w:rPr>
        <w:t xml:space="preserve">В случае рождения ребенка у родителей, не состоящих в браке между собой, и при отсутствии совместного заявления родителей или заявления отца ребенка ( пункт 4 статьи 48 настоящего Кодекса) происхождение ребенка от конкретного лица (отцовство) устанавливается в судебном порядке по заявлению одного из родителей, опекуна (попечителя)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любые доказательства , с достоверностью подтверждающие происхождение ребенка от конкретного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49</dc:title>
  <dc:creator>АРБИТРАЖ! · arbi.ru</dc:creator>
  <cp:lastModifiedBy>АРБИТРАЖ!</cp:lastModifiedBy>
  <dcterms:created xsi:type="dcterms:W3CDTF">2026-10-23T18:34:32.518Z</dcterms:created>
</cp:coreProperties>
</file>