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Родители вправе требовать возврата ребенка от любого лица, удерживающего его у себя не на основании закона или не на основании судебного решения. В случае возникновения спора родители вправе обратиться в суд за защитой своих прав.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этих требований суд вправе с учетом мнения ребенка отказать в удовлетворении иска родителей, если придет к выводу, что передача ребенка родителям не отвечает интересам ребенка.</w:t>
      </w:r>
    </w:p>
    <w:p>
      <w:pPr>
        <w:spacing w:after="120"/>
        <w:ind w:firstLine="709"/>
      </w:pPr>
      <w:r>
        <w:rPr>
          <w:sz w:val="24"/>
        </w:rPr>
        <w:t xml:space="preserve">2. Если судом установлено, что ни родители, ни лицо, у которого находится ребенок, не в состоянии обеспечить его надлежащее воспитание и развитие, суд передает ребенка на попечение органа опеки и попечительства.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68</dc:title>
  <dc:creator>АРБИТРАЖ! · arbi.ru</dc:creator>
  <cp:lastModifiedBy>АРБИТРАЖ!</cp:lastModifiedBy>
  <dcterms:created xsi:type="dcterms:W3CDTF">2026-10-23T13:07:24.862Z</dcterms:created>
</cp:coreProperties>
</file>