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основания, в силу которых родители (один из них) были ограничены в родительских правах, отпали, суд по иску родителей (одного из них) может вынести решение о возвращении ребенка родителям (одному из них) и об отмене ограничений, предусмотренных статьей 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 с учетом мнения ребенка вправе отказать в удовлетворении иска, если возвращение ребенка родителям (одному из них) противоречит его интересам.</w:t>
      </w:r>
    </w:p>
    <w:p>
      <w:pPr>
        <w:spacing w:after="120"/>
        <w:ind w:firstLine="709"/>
      </w:pPr>
      <w:r>
        <w:rPr>
          <w:sz w:val="24"/>
        </w:rPr>
        <w:t xml:space="preserve">3. В течение трех дней со дня вступления в законную силу решения суда об отмене ограничения родительских прав суд направляет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12.11.2012 N 183-ФЗ; в ред. Федерального закона от 02.08.2019 N 319-ФЗ)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76</dc:title>
  <dc:creator>АРБИТРАЖ! · arbi.ru</dc:creator>
  <cp:lastModifiedBy>АРБИТРАЖ!</cp:lastModifiedBy>
  <dcterms:created xsi:type="dcterms:W3CDTF">2026-10-23T05:34:55.671Z</dcterms:created>
</cp:coreProperties>
</file>