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82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Алиментные обязательства родителей и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82 СК РФ</w:t>
      </w:r>
    </w:p>
    <w:p>
      <w:pPr>
        <w:spacing w:after="120"/>
        <w:ind w:firstLine="709"/>
      </w:pPr>
      <w:r>
        <w:rPr>
          <w:sz w:val="24"/>
        </w:rPr>
        <w:t xml:space="preserve">- Родитель требует взыскания алиментов на несовершеннолетнего ребенка (детей)</w:t>
      </w:r>
    </w:p>
    <w:p>
      <w:pPr>
        <w:spacing w:after="120"/>
        <w:ind w:firstLine="709"/>
      </w:pPr>
      <w:r>
        <w:rPr>
          <w:sz w:val="24"/>
        </w:rPr>
        <w:t xml:space="preserve">Виды заработка и (или) иного дохода, которые получают родители в рублях и (или) в иностранной валюте и из которых производится удержание алиментов, взыскиваемых на несовершеннолетних детей в соответствии со статьей 81 настоящего Кодекса, определяются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82</dc:title>
  <dc:creator>АРБИТРАЖ! · arbi.ru</dc:creator>
  <cp:lastModifiedBy>АРБИТРАЖ!</cp:lastModifiedBy>
  <dcterms:created xsi:type="dcterms:W3CDTF">2026-10-23T03:37:26.562Z</dcterms:created>
</cp:coreProperties>
</file>