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СК РФ</w:t>
      </w:r>
    </w:p>
    <w:p>
      <w:pPr>
        <w:spacing w:after="120"/>
        <w:ind w:firstLine="709"/>
      </w:pPr>
      <w:r>
        <w:rPr>
          <w:sz w:val="24"/>
        </w:rPr>
        <w:t xml:space="preserve">- Совершеннолетний нетрудоспособный член семьи требует взыскания алиментов на свое содержание</w:t>
      </w:r>
    </w:p>
    <w:p>
      <w:pPr>
        <w:spacing w:after="120"/>
        <w:ind w:firstLine="709"/>
      </w:pPr>
      <w:r>
        <w:rPr>
          <w:sz w:val="24"/>
        </w:rPr>
        <w:t xml:space="preserve">1. Родители обязаны содержать своих нетрудоспособных совершеннолетних детей, нуждающихся в помощи.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сумме, подлежащей уплате ежемесячно, исходя из материального и семейного положения и других заслуживающих внимания интересов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85</dc:title>
  <dc:creator>АРБИТРАЖ! · arbi.ru</dc:creator>
  <cp:lastModifiedBy>АРБИТРАЖ!</cp:lastModifiedBy>
  <dcterms:created xsi:type="dcterms:W3CDTF">2026-10-23T06:36:56.944Z</dcterms:created>
</cp:coreProperties>
</file>