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отсутствии соглашения и при наличии исключительных обстоятельств (тяжелая болезнь, увечье несовершеннолетних детей или нетрудоспособных совершеннолетних нуждающихся детей, необходимость оплаты постороннего ухода за ними, отсутствие пригодного для постоянного проживания жилого помещения и другие обстоятельства) каждый из родителей может быть привлечен судом к участию в несении дополнительных расходов, вызванных этими обстоятельствами.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06.02.2020 N 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сумме, подлежащей уплате ежемесячно.</w:t>
      </w:r>
    </w:p>
    <w:p>
      <w:pPr>
        <w:spacing w:after="120"/>
        <w:ind w:firstLine="709"/>
      </w:pPr>
      <w:r>
        <w:rPr>
          <w:sz w:val="24"/>
        </w:rPr>
        <w:t xml:space="preserve">2. Суд вправе обязать родителей принять участие как в фактически понесенных дополнительных расходах, так и в дополнительных расходах, которые необходимо произвести в будущем.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86</dc:title>
  <dc:creator>АРБИТРАЖ! · arbi.ru</dc:creator>
  <cp:lastModifiedBy>АРБИТРАЖ!</cp:lastModifiedBy>
  <dcterms:created xsi:type="dcterms:W3CDTF">2026-10-23T07:29:19.564Z</dcterms:created>
</cp:coreProperties>
</file>