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Алиментные обязательства супругов и бывших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брака, так и после его расторжения:</w:t>
      </w:r>
    </w:p>
    <w:p>
      <w:pPr>
        <w:spacing w:after="120"/>
        <w:ind w:firstLine="709"/>
      </w:pPr>
      <w:r>
        <w:rPr>
          <w:sz w:val="24"/>
        </w:rPr>
        <w:t xml:space="preserve">в случае, если нетрудоспособность нуждающегося в помощи супруга наступила в результате злоупотребления спиртными напитками, наркотическими средствами или в результате совершения им умышленного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в случае непродолжительности пребывания супругов в браке;</w:t>
      </w:r>
    </w:p>
    <w:p>
      <w:pPr>
        <w:spacing w:after="120"/>
        <w:ind w:firstLine="709"/>
      </w:pPr>
      <w:r>
        <w:rPr>
          <w:sz w:val="24"/>
        </w:rPr>
        <w:t xml:space="preserve">в случае недостойного поведения в семье супруга, требующего выплаты алиментов.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92</dc:title>
  <dc:creator>АРБИТРАЖ! · arbi.ru</dc:creator>
  <cp:lastModifiedBy>АРБИТРАЖ!</cp:lastModifiedBy>
  <dcterms:created xsi:type="dcterms:W3CDTF">2026-10-23T13:02:54.679Z</dcterms:created>
</cp:coreProperties>
</file>