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Алиментные обязательства других членов семьи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Нетрудоспособные нуждающиеся лица, осуществлявшие фактическое воспитание и содержание несовершеннолетних детей, имеют право требовать в судебном порядке предоставления содержания от своих трудоспособных воспитанников, достигших совершеннолетия, если они не могут получить содержание от своих совершеннолетних трудоспособных детей или от супругов (бывших супругов).</w:t>
      </w:r>
    </w:p>
    <w:p>
      <w:pPr>
        <w:spacing w:after="120"/>
        <w:ind w:firstLine="709"/>
      </w:pPr>
      <w:r>
        <w:rPr>
          <w:sz w:val="24"/>
        </w:rPr>
        <w:t xml:space="preserve">2. Суд вправе освободить воспитанников от обязанности содержать фактических воспитателей, если последние содержали и воспитывали их менее пяти лет, а также если они содержали и воспитывали своих воспитанников ненадлежащим образом.</w:t>
      </w:r>
    </w:p>
    <w:p>
      <w:pPr>
        <w:spacing w:after="120"/>
        <w:ind w:firstLine="709"/>
      </w:pPr>
      <w:r>
        <w:rPr>
          <w:sz w:val="24"/>
        </w:rPr>
        <w:t xml:space="preserve">3. Обязанности, предусмотренные пунктом 1 настоящей статьи, не возлагаются на лиц, находившихся под опекой (попечительством), или на лиц, находившихся на воспитании в приемных семьях.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96</dc:title>
  <dc:creator>АРБИТРАЖ! · arbi.ru</dc:creator>
  <cp:lastModifiedBy>АРБИТРАЖ!</cp:lastModifiedBy>
  <dcterms:created xsi:type="dcterms:W3CDTF">2026-10-23T17:55:07.098Z</dcterms:created>
</cp:coreProperties>
</file>