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99 СК РФ</w:t>
      </w:r>
    </w:p>
    <w:p>
      <w:pPr>
        <w:spacing w:after="120"/>
        <w:ind w:firstLine="709"/>
      </w:pPr>
      <w:r>
        <w:rPr>
          <w:sz w:val="24"/>
        </w:rPr>
        <w:t xml:space="preserve">- Кредитор плательщика алиментов требует признания соглашения об уплате алиментов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Соглашение об уплате алиментов (размере, условиях и порядке выплаты алиментов) заключается между лицом, обязанным уплачивать алименты, и их получателем, а при недееспособности лица, обязанного уплачивать алименты, и (или) получателя алиментов - между законными представителями этих лиц. Не полностью дееспособные лица заключают соглашение об уплате алиментов с согласия их законных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99</dc:title>
  <dc:creator>АРБИТРАЖ! · arbi.ru</dc:creator>
  <cp:lastModifiedBy>АРБИТРАЖ!</cp:lastModifiedBy>
  <dcterms:created xsi:type="dcterms:W3CDTF">2026-10-23T20:47:21.847Z</dcterms:created>
</cp:coreProperties>
</file>