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имеющее право на получение алиментов, вправе обратиться в суд с заявлением о взыскании алиментов независимо от срока, истекшего с момента возникновения права на алименты, если алименты не выплачивались ранее по соглашению об уплате алиментов.</w:t>
      </w:r>
    </w:p>
    <w:p>
      <w:pPr>
        <w:spacing w:after="120"/>
        <w:ind w:firstLine="709"/>
      </w:pPr>
      <w:r>
        <w:rPr>
          <w:sz w:val="24"/>
        </w:rPr>
        <w:t xml:space="preserve">2. Алименты присуждаются с момента обращения в суд.</w:t>
      </w:r>
    </w:p>
    <w:p>
      <w:pPr>
        <w:spacing w:after="120"/>
        <w:ind w:firstLine="709"/>
      </w:pPr>
      <w:r>
        <w:rPr>
          <w:sz w:val="24"/>
        </w:rPr>
        <w:t xml:space="preserve">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107</dc:title>
  <dc:creator>АРБИТРАЖ! · arbi.ru</dc:creator>
  <cp:lastModifiedBy>АРБИТРАЖ!</cp:lastModifiedBy>
  <dcterms:created xsi:type="dcterms:W3CDTF">2026-10-24T00:57:38.555Z</dcterms:created>
</cp:coreProperties>
</file>