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делу о взыскании алиментов суд вправе вынести постановление о взыскании алиментов до вступления решения суда о взыскании алиментов в законную силу; при взыскании алиментов на несовершеннолетних детей - до вынесения судом решения о взыскании алиментов.</w:t>
      </w:r>
    </w:p>
    <w:p>
      <w:pPr>
        <w:spacing w:after="120"/>
        <w:ind w:firstLine="709"/>
      </w:pPr>
      <w:r>
        <w:rPr>
          <w:sz w:val="24"/>
        </w:rPr>
        <w:t xml:space="preserve">2. Размер взыскиваемых алиментов определяется судом исходя из материального и семейного положения сторон. Размер алиментов, взыскиваемых на несовершеннолетних детей, определяется в соответствии со статьей 81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108</dc:title>
  <dc:creator>АРБИТРАЖ! · arbi.ru</dc:creator>
  <cp:lastModifiedBy>АРБИТРАЖ!</cp:lastModifiedBy>
  <dcterms:created xsi:type="dcterms:W3CDTF">2026-10-24T01:54:55.208Z</dcterms:created>
</cp:coreProperties>
</file>