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131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Для усыновления детей, находящихся под опекой (попечительством), необходимо согласие в письменной форме их опекунов (попечителей).</w:t>
      </w:r>
    </w:p>
    <w:p>
      <w:pPr>
        <w:spacing w:after="120"/>
        <w:ind w:firstLine="709"/>
      </w:pPr>
      <w:r>
        <w:rPr>
          <w:sz w:val="24"/>
        </w:rPr>
        <w:t xml:space="preserve">Для усыновления детей, находящихся в приемных семьях, необходимо согласие в письменной форме приемных родителей.</w:t>
      </w:r>
    </w:p>
    <w:p>
      <w:pPr>
        <w:spacing w:after="120"/>
        <w:ind w:firstLine="709"/>
      </w:pPr>
      <w:r>
        <w:rPr>
          <w:sz w:val="24"/>
        </w:rPr>
        <w:t xml:space="preserve">Для усыновления детей, оставшихся без попечения родителей и находящихся в образовательных организациях, медицинских организациях, организациях социального обслуживания и аналогичных организациях, необходимо согласие в письменной форме руководителей данных организаций.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24.04.2008 N 49-ФЗ , от 25.11.2013 N 317-ФЗ , от 28.11.2015 N 358-ФЗ , от 28.03.2017 N 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вправе в интересах ребенка вынести решение о его усыновлении без согласия лиц, указанных в пункте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131</dc:title>
  <dc:creator>АРБИТРАЖ! · arbi.ru</dc:creator>
  <cp:lastModifiedBy>АРБИТРАЖ!</cp:lastModifiedBy>
  <dcterms:created xsi:type="dcterms:W3CDTF">2026-10-23T07:28:42.834Z</dcterms:created>
</cp:coreProperties>
</file>