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 усыновленным ребенком сохраняются его имя, отчество и фамилия.</w:t>
      </w:r>
    </w:p>
    <w:p>
      <w:pPr>
        <w:spacing w:after="120"/>
        <w:ind w:firstLine="709"/>
      </w:pPr>
      <w:r>
        <w:rPr>
          <w:sz w:val="24"/>
        </w:rPr>
        <w:t xml:space="preserve">2. По просьбе усыновителя усыновленному ребенку присваиваются фамилия усыновителя, а также указанное им имя. Отчество усыновленного ребенка определяется по имени усыновителя, если усыновитель мужчина, а при усыновлении ребенка женщиной - по имени лица, указанного ею в качестве отца усыновленного ребенка. Если фамилии супругов-усыновителей различные, по соглашению супругов-усыновителей усыновленному ребенку присваивается фамилия одного из них.</w:t>
      </w:r>
    </w:p>
    <w:p>
      <w:pPr>
        <w:spacing w:after="120"/>
        <w:ind w:firstLine="709"/>
      </w:pPr>
      <w:r>
        <w:rPr>
          <w:sz w:val="24"/>
        </w:rPr>
        <w:t xml:space="preserve">3. При усыновлении ребенка лицом, не состоящим в браке, по его просьбе фамилия, имя и отчество матери (отца) усыновленного ребенка записываются в книге записей рождений по указанию этого лица (усыновителя).</w:t>
      </w:r>
    </w:p>
    <w:p>
      <w:pPr>
        <w:spacing w:after="120"/>
        <w:ind w:firstLine="709"/>
      </w:pPr>
      <w:r>
        <w:rPr>
          <w:sz w:val="24"/>
        </w:rPr>
        <w:t xml:space="preserve">4. Изменение фамилии, имени и отчества усыновленного ребенка, достигшего возраста десяти лет, может быть произведено только с его согласия, за исключением случаев, предусмотренных пунктом 2 статьи 132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Об изменении фамилии, имени и отчества усыновленного ребенка указывается в решении суда о его усыновлении.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134</dc:title>
  <dc:creator>АРБИТРАЖ! · arbi.ru</dc:creator>
  <cp:lastModifiedBy>АРБИТРАЖ!</cp:lastModifiedBy>
  <dcterms:created xsi:type="dcterms:W3CDTF">2026-10-23T04:34:30.053Z</dcterms:created>
</cp:coreProperties>
</file>