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обеспечения тайны усыновления по просьбе усыновителя могут быть изменены дата рождения усыновленного ребенка, но не более чем на три месяца, а также место его рождения.</w:t>
      </w:r>
    </w:p>
    <w:p>
      <w:pPr>
        <w:spacing w:after="120"/>
        <w:ind w:firstLine="709"/>
      </w:pPr>
      <w:r>
        <w:rPr>
          <w:sz w:val="24"/>
        </w:rPr>
        <w:t xml:space="preserve">Изменение даты рождения усыновленного ребенка допускается только при усыновлении ребенка в возрасте до года. По причинам, признанным судом уважительными, изменение даты рождения усыновленного ребенка может быть разрешено при усыновлении ребенка, достигшего возраста одного года и старше.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 изменениях даты и (или) места рождения усыновленного ребенка указывается в решении суда о его усыновлении.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135</dc:title>
  <dc:creator>АРБИТРАЖ! · arbi.ru</dc:creator>
  <cp:lastModifiedBy>АРБИТРАЖ!</cp:lastModifiedBy>
  <dcterms:created xsi:type="dcterms:W3CDTF">2026-10-23T03:27:49.413Z</dcterms:created>
</cp:coreProperties>
</file>