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просьбе усыновителей суд может принять решение о записи усыновителей в книге записей рождений в качестве родителей усыновленного ими ребенка.</w:t>
      </w:r>
    </w:p>
    <w:p>
      <w:pPr>
        <w:spacing w:after="120"/>
        <w:ind w:firstLine="709"/>
      </w:pPr>
      <w:r>
        <w:rPr>
          <w:sz w:val="24"/>
        </w:rPr>
        <w:t xml:space="preserve">2. Для совершения такой записи в отношении усыновленного ребенка, достигшего возраста десяти лет, необходимо его согласие, за исключением случаев, предусмотренных пунктом 2 статьи 132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 необходимости производства такой записи указывается в решении суда об усыновлении ребенка.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136</dc:title>
  <dc:creator>АРБИТРАЖ! · arbi.ru</dc:creator>
  <cp:lastModifiedBy>АРБИТРАЖ!</cp:lastModifiedBy>
  <dcterms:created xsi:type="dcterms:W3CDTF">2026-10-23T02:25:48.655Z</dcterms:created>
</cp:coreProperties>
</file>