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140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Отмена усыновления ребенка производится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2. Дело об отмене усыновления ребенка рассматривается с участием органа опеки и попечительства, а также прокурора.</w:t>
      </w:r>
    </w:p>
    <w:p>
      <w:pPr>
        <w:spacing w:after="120"/>
        <w:ind w:firstLine="709"/>
      </w:pPr>
      <w:r>
        <w:rPr>
          <w:sz w:val="24"/>
        </w:rPr>
        <w:t xml:space="preserve">3. Усыновление прекращается со дня вступления в законную силу решения суда об отмене усыновления ребенка.</w:t>
      </w:r>
    </w:p>
    <w:p>
      <w:pPr>
        <w:spacing w:after="120"/>
        <w:ind w:firstLine="709"/>
      </w:pPr>
      <w:r>
        <w:rPr>
          <w:sz w:val="24"/>
        </w:rPr>
        <w:t xml:space="preserve">Суд обязан в течение трех дней со дня вступления в законную силу решения суда об отмене усыновления ребенка направить выписку из этого решения суда в орган опеки и попечительства по месту вынесения решения и в орган записи актов гражданского состояния по месту государственной регистрации усыновления.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02.08.2019 N 319-ФЗ)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140</dc:title>
  <dc:creator>АРБИТРАЖ! · arbi.ru</dc:creator>
  <cp:lastModifiedBy>АРБИТРАЖ!</cp:lastModifiedBy>
  <dcterms:created xsi:type="dcterms:W3CDTF">2026-10-22T22:34:00.661Z</dcterms:created>
</cp:coreProperties>
</file>