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144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Отмена усыновления ребенка не допускается, если к моменту предъявления требования об отмене усыновления усыновленный ребенок достиг совершеннолетия, за исключением случаев, когда на такую отмену имеется взаимное согласие усыновителя и усыновленного ребенка, а также родителей усыновленного ребенка, если они живы, не лишены родительских прав или не признаны судом недееспособными.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144</dc:title>
  <dc:creator>АРБИТРАЖ! · arbi.ru</dc:creator>
  <cp:lastModifiedBy>АРБИТРАЖ!</cp:lastModifiedBy>
  <dcterms:created xsi:type="dcterms:W3CDTF">2026-10-22T18:50:22.445Z</dcterms:created>
</cp:coreProperties>
</file>