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155.3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22. Устройство детей, оставшихся без попечения родителей, в организации для детей-сирот и детей, оставшихся без попечения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Дети, оставшиеся без попечения родителей и находящиеся в организациях для детей-сирот и детей, оставшихся без попечения родителей, имеют право на:</w:t>
      </w:r>
    </w:p>
    <w:p/>
    <w:p>
      <w:pPr>
        <w:spacing w:after="120"/>
        <w:ind w:firstLine="709"/>
      </w:pPr>
      <w:r>
        <w:rPr>
          <w:sz w:val="24"/>
        </w:rPr>
        <w:t xml:space="preserve">Раздел VII. Применение семейного законодательства к семейным отношениям с участием иностранных граждан и лиц без гражданства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155.3</dc:title>
  <dc:creator>АРБИТРАЖ! · arbi.ru</dc:creator>
  <cp:lastModifiedBy>АРБИТРАЖ!</cp:lastModifiedBy>
  <dcterms:created xsi:type="dcterms:W3CDTF">2026-10-25T09:29:54.420Z</dcterms:created>
</cp:coreProperties>
</file>