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156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22. Устройство детей, оставшихся без попечения родителей, в организации для детей-сирот и детей, оставшихся без попечения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Форма и порядок заключения брака на территории Российской Федерации определяются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Условия заключения брака на территории Российской Федерации определяются для каждого из лиц, вступающих в брак, законодательством государства, гражданином которого лицо является в момент заключения брака, с соблюдением требований статьи 14 настоящего Кодекса в отношении обстоятельств, препятствующих заключению брака. Не допускается заключение брака между лицами, хотя бы одно из которых является иностранным гражданином или лицом без гражданства, сведения о которых включены в реестр контролируемых лиц, предусмотренный законодательством о правовом положении иностранных граждан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лицо наряду с гражданством иностранного государства имеет гражданство Российской Федерации, к условиям заключения брака применяется законодательство Российской Федерации. При наличии у лица гражданства нескольких иностранных государств применяется по выбору данного лица законодательство одного из этих государств.</w:t>
      </w:r>
    </w:p>
    <w:p>
      <w:pPr>
        <w:spacing w:after="120"/>
        <w:ind w:firstLine="709"/>
      </w:pPr>
      <w:r>
        <w:rPr>
          <w:sz w:val="24"/>
        </w:rPr>
        <w:t xml:space="preserve">4. Условия заключения брака лицом без гражданства на территории Российской Федерации определяются законодательством государства, в котором это лицо имеет постоянное место жительства.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156</dc:title>
  <dc:creator>АРБИТРАЖ! · arbi.ru</dc:creator>
  <cp:lastModifiedBy>АРБИТРАЖ!</cp:lastModifiedBy>
  <dcterms:created xsi:type="dcterms:W3CDTF">2026-10-25T10:25:45.357Z</dcterms:created>
</cp:coreProperties>
</file>