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158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22. Устройство детей, оставшихся без попечения родителей, в организации для детей-сирот и детей, оставшихся без попечения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Браки между гражданами Российской Федерации и браки между гражданами Российской Федерации и иностранными гражданами или лицами без гражданства, заключенные за пределами территории Российской Федерации с соблюдением законодательства государства, на территории которого они заключены, признаются действительными в Российской Федерации, если отсутствуют предусмотренные статьей 14 настоящего Кодекса обстоятельства, препятствующие заключению брака.</w:t>
      </w:r>
    </w:p>
    <w:p>
      <w:pPr>
        <w:spacing w:after="120"/>
        <w:ind w:firstLine="709"/>
      </w:pPr>
      <w:r>
        <w:rPr>
          <w:sz w:val="24"/>
        </w:rPr>
        <w:t xml:space="preserve">2. Браки между иностранными гражданами, заключенные за пределами территории Российской Федерации с соблюдением законодательства государства, на территории которого они заключены, признаются действительными в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158</dc:title>
  <dc:creator>АРБИТРАЖ! · arbi.ru</dc:creator>
  <cp:lastModifiedBy>АРБИТРАЖ!</cp:lastModifiedBy>
  <dcterms:created xsi:type="dcterms:W3CDTF">2026-10-25T12:34:51.214Z</dcterms:created>
</cp:coreProperties>
</file>